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CE" w:rsidRPr="002B49CE" w:rsidRDefault="002B49CE" w:rsidP="00860D17">
      <w:pPr>
        <w:pStyle w:val="Title"/>
        <w:tabs>
          <w:tab w:val="clear" w:pos="6120"/>
          <w:tab w:val="left" w:pos="9720"/>
        </w:tabs>
      </w:pPr>
      <w:r w:rsidRPr="002B49CE">
        <w:t>Universal Design for Learning Guidelines</w:t>
      </w:r>
      <w:r w:rsidRPr="002B49CE">
        <w:tab/>
      </w:r>
      <w:bookmarkStart w:id="0" w:name="_GoBack"/>
      <w:bookmarkEnd w:id="0"/>
      <w:r w:rsidRPr="002B49CE">
        <w:t xml:space="preserve">CAST | </w:t>
      </w:r>
      <w:proofErr w:type="gramStart"/>
      <w:r w:rsidRPr="002B49CE">
        <w:t>Until</w:t>
      </w:r>
      <w:proofErr w:type="gramEnd"/>
      <w:r w:rsidRPr="002B49CE">
        <w:t xml:space="preserve"> learning has no limits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versal Design for Learning Guidelines"/>
      </w:tblPr>
      <w:tblGrid>
        <w:gridCol w:w="1705"/>
        <w:gridCol w:w="4228"/>
        <w:gridCol w:w="4228"/>
        <w:gridCol w:w="4229"/>
      </w:tblGrid>
      <w:tr w:rsidR="002B49CE" w:rsidRPr="00AF084E" w:rsidTr="002A1CFF">
        <w:trPr>
          <w:cantSplit/>
          <w:trHeight w:val="1493"/>
          <w:tblHeader/>
        </w:trPr>
        <w:tc>
          <w:tcPr>
            <w:tcW w:w="1705" w:type="dxa"/>
          </w:tcPr>
          <w:p w:rsidR="002B49CE" w:rsidRPr="00AF084E" w:rsidRDefault="002B49CE" w:rsidP="00AF084E">
            <w:pPr>
              <w:spacing w:after="120" w:line="276" w:lineRule="auto"/>
              <w:rPr>
                <w:b/>
              </w:rPr>
            </w:pPr>
          </w:p>
        </w:tc>
        <w:tc>
          <w:tcPr>
            <w:tcW w:w="4228" w:type="dxa"/>
            <w:shd w:val="clear" w:color="auto" w:fill="D9D9D9" w:themeFill="background1" w:themeFillShade="D9"/>
          </w:tcPr>
          <w:p w:rsidR="002B49CE" w:rsidRPr="002A1CFF" w:rsidRDefault="002B49CE" w:rsidP="002A1CFF">
            <w:pPr>
              <w:shd w:val="clear" w:color="auto" w:fill="478F6D"/>
              <w:spacing w:after="120" w:line="276" w:lineRule="auto"/>
              <w:rPr>
                <w:color w:val="FFFFFF" w:themeColor="background1"/>
              </w:rPr>
            </w:pPr>
            <w:r w:rsidRPr="002A1CFF">
              <w:rPr>
                <w:color w:val="FFFFFF" w:themeColor="background1"/>
              </w:rPr>
              <w:t>Provide multiple means of</w:t>
            </w:r>
          </w:p>
          <w:p w:rsidR="002B49CE" w:rsidRPr="002A1CFF" w:rsidRDefault="002B49CE" w:rsidP="002A1CFF">
            <w:pPr>
              <w:shd w:val="clear" w:color="auto" w:fill="478F6D"/>
              <w:spacing w:after="120" w:line="276" w:lineRule="auto"/>
              <w:rPr>
                <w:b/>
                <w:color w:val="FFFFFF" w:themeColor="background1"/>
              </w:rPr>
            </w:pPr>
            <w:r w:rsidRPr="002A1CFF">
              <w:rPr>
                <w:b/>
                <w:color w:val="FFFFFF" w:themeColor="background1"/>
              </w:rPr>
              <w:t>Engagement</w:t>
            </w:r>
          </w:p>
          <w:p w:rsidR="002B49CE" w:rsidRPr="00AF084E" w:rsidRDefault="002B49CE" w:rsidP="00AF084E">
            <w:pPr>
              <w:spacing w:after="120" w:line="276" w:lineRule="auto"/>
            </w:pPr>
            <w:r w:rsidRPr="00AF084E">
              <w:t>Affective Networks</w:t>
            </w:r>
          </w:p>
          <w:p w:rsidR="002B49CE" w:rsidRPr="00AF084E" w:rsidRDefault="002B49CE" w:rsidP="00AF084E">
            <w:pPr>
              <w:spacing w:after="120" w:line="276" w:lineRule="auto"/>
            </w:pPr>
            <w:r w:rsidRPr="00AF084E">
              <w:t>The “WHY” of Learning</w:t>
            </w:r>
          </w:p>
        </w:tc>
        <w:tc>
          <w:tcPr>
            <w:tcW w:w="4228" w:type="dxa"/>
            <w:shd w:val="clear" w:color="auto" w:fill="D9D9D9" w:themeFill="background1" w:themeFillShade="D9"/>
          </w:tcPr>
          <w:p w:rsidR="002B49CE" w:rsidRPr="002A1CFF" w:rsidRDefault="002B49CE" w:rsidP="002A1CFF">
            <w:pPr>
              <w:shd w:val="clear" w:color="auto" w:fill="9260CE"/>
              <w:spacing w:after="120" w:line="276" w:lineRule="auto"/>
              <w:rPr>
                <w:color w:val="FFFFFF" w:themeColor="background1"/>
              </w:rPr>
            </w:pPr>
            <w:r w:rsidRPr="002A1CFF">
              <w:rPr>
                <w:color w:val="FFFFFF" w:themeColor="background1"/>
              </w:rPr>
              <w:t>Provide multiple means of</w:t>
            </w:r>
          </w:p>
          <w:p w:rsidR="002B49CE" w:rsidRPr="002A1CFF" w:rsidRDefault="002B49CE" w:rsidP="002A1CFF">
            <w:pPr>
              <w:shd w:val="clear" w:color="auto" w:fill="9260CE"/>
              <w:spacing w:after="120" w:line="276" w:lineRule="auto"/>
              <w:rPr>
                <w:b/>
                <w:color w:val="FFFFFF" w:themeColor="background1"/>
              </w:rPr>
            </w:pPr>
            <w:r w:rsidRPr="002A1CFF">
              <w:rPr>
                <w:b/>
                <w:color w:val="FFFFFF" w:themeColor="background1"/>
              </w:rPr>
              <w:t>Representation</w:t>
            </w:r>
          </w:p>
          <w:p w:rsidR="002B49CE" w:rsidRPr="00AF084E" w:rsidRDefault="002B49CE" w:rsidP="00AF084E">
            <w:pPr>
              <w:spacing w:after="120" w:line="276" w:lineRule="auto"/>
            </w:pPr>
            <w:r w:rsidRPr="00AF084E">
              <w:t>Recognition Networks</w:t>
            </w:r>
          </w:p>
          <w:p w:rsidR="002B49CE" w:rsidRPr="00AF084E" w:rsidRDefault="002B49CE" w:rsidP="00AF084E">
            <w:pPr>
              <w:spacing w:after="120" w:line="276" w:lineRule="auto"/>
            </w:pPr>
            <w:r w:rsidRPr="00AF084E">
              <w:t>The “WHAT” of Learning</w:t>
            </w:r>
          </w:p>
        </w:tc>
        <w:tc>
          <w:tcPr>
            <w:tcW w:w="4229" w:type="dxa"/>
            <w:shd w:val="clear" w:color="auto" w:fill="D9D9D9" w:themeFill="background1" w:themeFillShade="D9"/>
          </w:tcPr>
          <w:p w:rsidR="002B49CE" w:rsidRPr="002A1CFF" w:rsidRDefault="002B49CE" w:rsidP="002A1CFF">
            <w:pPr>
              <w:shd w:val="clear" w:color="auto" w:fill="3295BC"/>
              <w:spacing w:after="120" w:line="276" w:lineRule="auto"/>
              <w:rPr>
                <w:color w:val="FFFFFF" w:themeColor="background1"/>
              </w:rPr>
            </w:pPr>
            <w:r w:rsidRPr="002A1CFF">
              <w:rPr>
                <w:color w:val="FFFFFF" w:themeColor="background1"/>
              </w:rPr>
              <w:t>Provide multiple means of</w:t>
            </w:r>
          </w:p>
          <w:p w:rsidR="002B49CE" w:rsidRPr="002A1CFF" w:rsidRDefault="002B49CE" w:rsidP="002A1CFF">
            <w:pPr>
              <w:shd w:val="clear" w:color="auto" w:fill="3295BC"/>
              <w:spacing w:after="120" w:line="276" w:lineRule="auto"/>
              <w:rPr>
                <w:b/>
                <w:color w:val="FFFFFF" w:themeColor="background1"/>
              </w:rPr>
            </w:pPr>
            <w:r w:rsidRPr="002A1CFF">
              <w:rPr>
                <w:b/>
                <w:color w:val="FFFFFF" w:themeColor="background1"/>
              </w:rPr>
              <w:t>Action &amp; Expression</w:t>
            </w:r>
          </w:p>
          <w:p w:rsidR="002B49CE" w:rsidRPr="00AF084E" w:rsidRDefault="002B49CE" w:rsidP="00AF084E">
            <w:pPr>
              <w:spacing w:after="120" w:line="276" w:lineRule="auto"/>
            </w:pPr>
            <w:r w:rsidRPr="00AF084E">
              <w:t>Strategic Networks</w:t>
            </w:r>
          </w:p>
          <w:p w:rsidR="002B49CE" w:rsidRPr="00AF084E" w:rsidRDefault="002B49CE" w:rsidP="00AF084E">
            <w:pPr>
              <w:spacing w:after="120" w:line="276" w:lineRule="auto"/>
            </w:pPr>
            <w:r w:rsidRPr="00AF084E">
              <w:t>The “HOW” of Learning</w:t>
            </w:r>
          </w:p>
        </w:tc>
      </w:tr>
      <w:tr w:rsidR="0093762E" w:rsidRPr="00AF084E" w:rsidTr="0093762E">
        <w:trPr>
          <w:cantSplit/>
        </w:trPr>
        <w:tc>
          <w:tcPr>
            <w:tcW w:w="1705" w:type="dxa"/>
          </w:tcPr>
          <w:p w:rsidR="002B49CE" w:rsidRPr="00AF084E" w:rsidRDefault="002B49CE" w:rsidP="00AF084E">
            <w:pPr>
              <w:spacing w:after="120" w:line="276" w:lineRule="auto"/>
              <w:rPr>
                <w:b/>
              </w:rPr>
            </w:pPr>
            <w:r w:rsidRPr="00AF084E">
              <w:rPr>
                <w:b/>
              </w:rPr>
              <w:t>Access</w:t>
            </w:r>
          </w:p>
        </w:tc>
        <w:tc>
          <w:tcPr>
            <w:tcW w:w="4228" w:type="dxa"/>
            <w:shd w:val="clear" w:color="auto" w:fill="BFDFD0"/>
          </w:tcPr>
          <w:p w:rsidR="002B49CE" w:rsidRPr="00AF084E" w:rsidRDefault="002B49CE" w:rsidP="00AF084E">
            <w:pPr>
              <w:spacing w:after="120" w:line="276" w:lineRule="auto"/>
            </w:pPr>
            <w:r w:rsidRPr="00AF084E">
              <w:rPr>
                <w:rStyle w:val="A2"/>
                <w:sz w:val="24"/>
                <w:szCs w:val="24"/>
              </w:rPr>
              <w:t xml:space="preserve">Provide options for </w:t>
            </w:r>
          </w:p>
          <w:p w:rsidR="002B49CE" w:rsidRPr="00AF084E" w:rsidRDefault="002B49CE" w:rsidP="00AF084E">
            <w:pPr>
              <w:spacing w:after="120" w:line="276" w:lineRule="auto"/>
              <w:rPr>
                <w:rFonts w:cs="Open Sans Extrabold"/>
              </w:rPr>
            </w:pPr>
            <w:r w:rsidRPr="00AF084E">
              <w:rPr>
                <w:rStyle w:val="A6"/>
                <w:rFonts w:ascii="Verdana" w:hAnsi="Verdana"/>
                <w:sz w:val="24"/>
                <w:szCs w:val="24"/>
              </w:rPr>
              <w:t xml:space="preserve">Recruiting Interest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Optimize individual choice and autonomy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Optimize relevance, value, and authenticity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</w:pPr>
            <w:r w:rsidRPr="00AF084E">
              <w:rPr>
                <w:rStyle w:val="A7"/>
                <w:sz w:val="24"/>
                <w:szCs w:val="24"/>
              </w:rPr>
              <w:t>Minimize threats and distractions</w:t>
            </w:r>
          </w:p>
        </w:tc>
        <w:tc>
          <w:tcPr>
            <w:tcW w:w="4228" w:type="dxa"/>
            <w:shd w:val="clear" w:color="auto" w:fill="D9C8EE"/>
          </w:tcPr>
          <w:p w:rsidR="002B49CE" w:rsidRPr="00AF084E" w:rsidRDefault="002B49CE" w:rsidP="00AF084E">
            <w:pPr>
              <w:spacing w:after="120" w:line="276" w:lineRule="auto"/>
            </w:pPr>
            <w:r w:rsidRPr="00AF084E">
              <w:rPr>
                <w:rStyle w:val="A2"/>
                <w:sz w:val="24"/>
                <w:szCs w:val="24"/>
              </w:rPr>
              <w:t xml:space="preserve">Provide options for </w:t>
            </w:r>
          </w:p>
          <w:p w:rsidR="002B49CE" w:rsidRPr="00AF084E" w:rsidRDefault="002B49CE" w:rsidP="00AF084E">
            <w:pPr>
              <w:spacing w:after="120" w:line="276" w:lineRule="auto"/>
              <w:rPr>
                <w:rFonts w:cs="Open Sans Extrabold"/>
              </w:rPr>
            </w:pPr>
            <w:r w:rsidRPr="00AF084E">
              <w:rPr>
                <w:rStyle w:val="A6"/>
                <w:rFonts w:ascii="Verdana" w:hAnsi="Verdana"/>
                <w:sz w:val="24"/>
                <w:szCs w:val="24"/>
              </w:rPr>
              <w:t xml:space="preserve">Perception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Offer ways of customizing the display of information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Offer alternatives for auditory information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</w:pPr>
            <w:r w:rsidRPr="00AF084E">
              <w:rPr>
                <w:rStyle w:val="A7"/>
                <w:sz w:val="24"/>
                <w:szCs w:val="24"/>
              </w:rPr>
              <w:t>Offer alternatives for visual information</w:t>
            </w:r>
          </w:p>
        </w:tc>
        <w:tc>
          <w:tcPr>
            <w:tcW w:w="4229" w:type="dxa"/>
            <w:shd w:val="clear" w:color="auto" w:fill="C3E2EF"/>
          </w:tcPr>
          <w:p w:rsidR="002B49CE" w:rsidRPr="00AF084E" w:rsidRDefault="002B49CE" w:rsidP="00AF084E">
            <w:pPr>
              <w:spacing w:after="120" w:line="276" w:lineRule="auto"/>
            </w:pPr>
            <w:r w:rsidRPr="00AF084E">
              <w:rPr>
                <w:rStyle w:val="A2"/>
                <w:sz w:val="24"/>
                <w:szCs w:val="24"/>
              </w:rPr>
              <w:t xml:space="preserve">Provide options for </w:t>
            </w:r>
          </w:p>
          <w:p w:rsidR="002B49CE" w:rsidRPr="00AF084E" w:rsidRDefault="002B49CE" w:rsidP="00AF084E">
            <w:pPr>
              <w:spacing w:after="120" w:line="276" w:lineRule="auto"/>
              <w:rPr>
                <w:rFonts w:cs="Open Sans Extrabold"/>
              </w:rPr>
            </w:pPr>
            <w:r w:rsidRPr="00AF084E">
              <w:rPr>
                <w:rStyle w:val="A6"/>
                <w:rFonts w:ascii="Verdana" w:hAnsi="Verdana"/>
                <w:sz w:val="24"/>
                <w:szCs w:val="24"/>
              </w:rPr>
              <w:t xml:space="preserve">Physical Action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Vary the methods for response and navigation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</w:pPr>
            <w:r w:rsidRPr="00AF084E">
              <w:rPr>
                <w:rStyle w:val="A7"/>
                <w:sz w:val="24"/>
                <w:szCs w:val="24"/>
              </w:rPr>
              <w:t>Optimize access to tools and assistive technologies</w:t>
            </w:r>
          </w:p>
        </w:tc>
      </w:tr>
      <w:tr w:rsidR="002B49CE" w:rsidRPr="00AF084E" w:rsidTr="002A1CFF">
        <w:trPr>
          <w:cantSplit/>
        </w:trPr>
        <w:tc>
          <w:tcPr>
            <w:tcW w:w="1705" w:type="dxa"/>
          </w:tcPr>
          <w:p w:rsidR="002B49CE" w:rsidRPr="00AF084E" w:rsidRDefault="002B49CE" w:rsidP="00AF084E">
            <w:pPr>
              <w:spacing w:after="120" w:line="276" w:lineRule="auto"/>
              <w:rPr>
                <w:b/>
              </w:rPr>
            </w:pPr>
            <w:r w:rsidRPr="00AF084E">
              <w:rPr>
                <w:b/>
              </w:rPr>
              <w:t>Build</w:t>
            </w:r>
          </w:p>
        </w:tc>
        <w:tc>
          <w:tcPr>
            <w:tcW w:w="4228" w:type="dxa"/>
            <w:shd w:val="clear" w:color="auto" w:fill="BFDFD0"/>
          </w:tcPr>
          <w:p w:rsidR="002B49CE" w:rsidRPr="00AF084E" w:rsidRDefault="002B49CE" w:rsidP="00AF084E">
            <w:pPr>
              <w:pStyle w:val="Pa1"/>
              <w:spacing w:after="120" w:line="276" w:lineRule="auto"/>
              <w:rPr>
                <w:rFonts w:ascii="Verdana" w:hAnsi="Verdana" w:cs="Open Sans"/>
                <w:color w:val="252D2E"/>
              </w:rPr>
            </w:pPr>
            <w:r w:rsidRPr="00AF084E">
              <w:rPr>
                <w:rStyle w:val="A2"/>
                <w:rFonts w:ascii="Verdana" w:hAnsi="Verdana"/>
                <w:sz w:val="24"/>
                <w:szCs w:val="24"/>
              </w:rPr>
              <w:t xml:space="preserve">Provide options for </w:t>
            </w:r>
          </w:p>
          <w:p w:rsidR="002B49CE" w:rsidRPr="00AF084E" w:rsidRDefault="002B49CE" w:rsidP="00AF084E">
            <w:pPr>
              <w:pStyle w:val="Pa1"/>
              <w:spacing w:after="120" w:line="276" w:lineRule="auto"/>
              <w:rPr>
                <w:rFonts w:ascii="Verdana" w:hAnsi="Verdana" w:cs="Open Sans Extrabold"/>
                <w:color w:val="252D2E"/>
              </w:rPr>
            </w:pPr>
            <w:r w:rsidRPr="00AF084E">
              <w:rPr>
                <w:rStyle w:val="A6"/>
                <w:rFonts w:ascii="Verdana" w:hAnsi="Verdana"/>
                <w:sz w:val="24"/>
                <w:szCs w:val="24"/>
              </w:rPr>
              <w:t xml:space="preserve">Sustaining Effort &amp; Persistence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Heighten salience of goals and objectives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Vary demands and resources to optimize challenge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Foster collaboration and community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</w:pPr>
            <w:r w:rsidRPr="00AF084E">
              <w:rPr>
                <w:rStyle w:val="A7"/>
                <w:sz w:val="24"/>
                <w:szCs w:val="24"/>
              </w:rPr>
              <w:t>Increase mastery-oriented feedback</w:t>
            </w:r>
          </w:p>
        </w:tc>
        <w:tc>
          <w:tcPr>
            <w:tcW w:w="4228" w:type="dxa"/>
            <w:shd w:val="clear" w:color="auto" w:fill="D9C8EE"/>
          </w:tcPr>
          <w:p w:rsidR="002B49CE" w:rsidRPr="00AF084E" w:rsidRDefault="002B49CE" w:rsidP="00AF084E">
            <w:pPr>
              <w:spacing w:after="120" w:line="276" w:lineRule="auto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Provide options for </w:t>
            </w:r>
          </w:p>
          <w:p w:rsidR="002B49CE" w:rsidRPr="00AF084E" w:rsidRDefault="002B49CE" w:rsidP="00AF084E">
            <w:pPr>
              <w:spacing w:after="120" w:line="276" w:lineRule="auto"/>
              <w:rPr>
                <w:rStyle w:val="A7"/>
                <w:b/>
                <w:sz w:val="24"/>
                <w:szCs w:val="24"/>
              </w:rPr>
            </w:pPr>
            <w:r w:rsidRPr="00AF084E">
              <w:rPr>
                <w:rStyle w:val="A7"/>
                <w:b/>
                <w:sz w:val="24"/>
                <w:szCs w:val="24"/>
              </w:rPr>
              <w:t xml:space="preserve">Language &amp; Symbols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Clarify vocabulary and symbols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Clarify syntax and structure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Support decoding of text, mathematical notation, and symbols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Promote understanding across languages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>Illustrate through multiple media</w:t>
            </w:r>
          </w:p>
        </w:tc>
        <w:tc>
          <w:tcPr>
            <w:tcW w:w="4229" w:type="dxa"/>
            <w:shd w:val="clear" w:color="auto" w:fill="C3E2EF"/>
          </w:tcPr>
          <w:p w:rsidR="002B49CE" w:rsidRPr="00AF084E" w:rsidRDefault="002B49CE" w:rsidP="00AF084E">
            <w:pPr>
              <w:pStyle w:val="Pa1"/>
              <w:spacing w:after="120" w:line="276" w:lineRule="auto"/>
              <w:rPr>
                <w:rFonts w:ascii="Verdana" w:hAnsi="Verdana" w:cs="Open Sans"/>
                <w:color w:val="252D2E"/>
              </w:rPr>
            </w:pPr>
            <w:r w:rsidRPr="00AF084E">
              <w:rPr>
                <w:rStyle w:val="A2"/>
                <w:rFonts w:ascii="Verdana" w:hAnsi="Verdana"/>
                <w:sz w:val="24"/>
                <w:szCs w:val="24"/>
              </w:rPr>
              <w:t xml:space="preserve">Provide options for </w:t>
            </w:r>
          </w:p>
          <w:p w:rsidR="002B49CE" w:rsidRPr="00AF084E" w:rsidRDefault="002B49CE" w:rsidP="00AF084E">
            <w:pPr>
              <w:pStyle w:val="Pa1"/>
              <w:spacing w:after="120" w:line="276" w:lineRule="auto"/>
              <w:rPr>
                <w:rFonts w:ascii="Verdana" w:hAnsi="Verdana" w:cs="Open Sans Extrabold"/>
                <w:color w:val="252D2E"/>
              </w:rPr>
            </w:pPr>
            <w:r w:rsidRPr="00AF084E">
              <w:rPr>
                <w:rStyle w:val="A6"/>
                <w:rFonts w:ascii="Verdana" w:hAnsi="Verdana"/>
                <w:sz w:val="24"/>
                <w:szCs w:val="24"/>
              </w:rPr>
              <w:t xml:space="preserve">Expression &amp; Communication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Use multiple media for communication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Use multiple tools for construction and composition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</w:pPr>
            <w:r w:rsidRPr="00AF084E">
              <w:rPr>
                <w:rStyle w:val="A7"/>
                <w:sz w:val="24"/>
                <w:szCs w:val="24"/>
              </w:rPr>
              <w:t>Build fluencies with graduated levels of support for practice and performance</w:t>
            </w:r>
          </w:p>
        </w:tc>
      </w:tr>
      <w:tr w:rsidR="002B49CE" w:rsidRPr="00AF084E" w:rsidTr="002A1CFF">
        <w:trPr>
          <w:cantSplit/>
        </w:trPr>
        <w:tc>
          <w:tcPr>
            <w:tcW w:w="1705" w:type="dxa"/>
          </w:tcPr>
          <w:p w:rsidR="002B49CE" w:rsidRPr="00AF084E" w:rsidRDefault="002B49CE" w:rsidP="00AF084E">
            <w:pPr>
              <w:spacing w:after="120" w:line="276" w:lineRule="auto"/>
              <w:rPr>
                <w:b/>
              </w:rPr>
            </w:pPr>
            <w:r w:rsidRPr="00AF084E">
              <w:rPr>
                <w:b/>
              </w:rPr>
              <w:lastRenderedPageBreak/>
              <w:t>Internalize</w:t>
            </w:r>
          </w:p>
        </w:tc>
        <w:tc>
          <w:tcPr>
            <w:tcW w:w="4228" w:type="dxa"/>
            <w:shd w:val="clear" w:color="auto" w:fill="BFDFD0"/>
          </w:tcPr>
          <w:p w:rsidR="002B49CE" w:rsidRPr="00AF084E" w:rsidRDefault="002B49CE" w:rsidP="00AF084E">
            <w:pPr>
              <w:spacing w:after="120" w:line="276" w:lineRule="auto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Provide options for </w:t>
            </w:r>
          </w:p>
          <w:p w:rsidR="002B49CE" w:rsidRPr="00AF084E" w:rsidRDefault="002B49CE" w:rsidP="00AF084E">
            <w:pPr>
              <w:spacing w:after="120" w:line="276" w:lineRule="auto"/>
              <w:rPr>
                <w:rStyle w:val="A7"/>
                <w:b/>
                <w:sz w:val="24"/>
                <w:szCs w:val="24"/>
              </w:rPr>
            </w:pPr>
            <w:proofErr w:type="spellStart"/>
            <w:r w:rsidRPr="00AF084E">
              <w:rPr>
                <w:rStyle w:val="A7"/>
                <w:b/>
                <w:sz w:val="24"/>
                <w:szCs w:val="24"/>
              </w:rPr>
              <w:t>Self Regulation</w:t>
            </w:r>
            <w:proofErr w:type="spellEnd"/>
            <w:r w:rsidRPr="00AF084E">
              <w:rPr>
                <w:rStyle w:val="A7"/>
                <w:b/>
                <w:sz w:val="24"/>
                <w:szCs w:val="24"/>
              </w:rPr>
              <w:t xml:space="preserve">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Promote expectations and beliefs that optimize motivation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Facilitate personal coping skills and strategies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>Develop self-assessment and reflection</w:t>
            </w:r>
          </w:p>
        </w:tc>
        <w:tc>
          <w:tcPr>
            <w:tcW w:w="4228" w:type="dxa"/>
            <w:shd w:val="clear" w:color="auto" w:fill="D9C8EE"/>
          </w:tcPr>
          <w:p w:rsidR="002B49CE" w:rsidRPr="00AF084E" w:rsidRDefault="002B49CE" w:rsidP="00AF084E">
            <w:pPr>
              <w:spacing w:after="120" w:line="276" w:lineRule="auto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Provide options for </w:t>
            </w:r>
          </w:p>
          <w:p w:rsidR="002B49CE" w:rsidRPr="00AF084E" w:rsidRDefault="002B49CE" w:rsidP="00AF084E">
            <w:pPr>
              <w:spacing w:after="120" w:line="276" w:lineRule="auto"/>
              <w:rPr>
                <w:rStyle w:val="A7"/>
                <w:b/>
                <w:sz w:val="24"/>
                <w:szCs w:val="24"/>
              </w:rPr>
            </w:pPr>
            <w:r w:rsidRPr="00AF084E">
              <w:rPr>
                <w:rStyle w:val="A7"/>
                <w:b/>
                <w:sz w:val="24"/>
                <w:szCs w:val="24"/>
              </w:rPr>
              <w:t xml:space="preserve">Comprehension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Activate or supply background knowledge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>Highlight patterns, critical features, big ideas,</w:t>
            </w:r>
            <w:r w:rsidR="00AF084E">
              <w:rPr>
                <w:rStyle w:val="A7"/>
                <w:sz w:val="24"/>
                <w:szCs w:val="24"/>
              </w:rPr>
              <w:t xml:space="preserve"> </w:t>
            </w:r>
            <w:r w:rsidRPr="00AF084E">
              <w:rPr>
                <w:rStyle w:val="A7"/>
                <w:sz w:val="24"/>
                <w:szCs w:val="24"/>
              </w:rPr>
              <w:t xml:space="preserve">and relationships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Guide information processing and visualization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>Maximize transfer and generalization</w:t>
            </w:r>
          </w:p>
        </w:tc>
        <w:tc>
          <w:tcPr>
            <w:tcW w:w="4229" w:type="dxa"/>
            <w:shd w:val="clear" w:color="auto" w:fill="C3E2EF"/>
          </w:tcPr>
          <w:p w:rsidR="002B49CE" w:rsidRPr="00AF084E" w:rsidRDefault="002B49CE" w:rsidP="00AF084E">
            <w:pPr>
              <w:spacing w:after="120" w:line="276" w:lineRule="auto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Provide options for </w:t>
            </w:r>
          </w:p>
          <w:p w:rsidR="002B49CE" w:rsidRPr="00AF084E" w:rsidRDefault="002B49CE" w:rsidP="00AF084E">
            <w:pPr>
              <w:spacing w:after="120" w:line="276" w:lineRule="auto"/>
              <w:rPr>
                <w:rStyle w:val="A7"/>
                <w:b/>
                <w:sz w:val="24"/>
                <w:szCs w:val="24"/>
              </w:rPr>
            </w:pPr>
            <w:r w:rsidRPr="00AF084E">
              <w:rPr>
                <w:rStyle w:val="A7"/>
                <w:b/>
                <w:sz w:val="24"/>
                <w:szCs w:val="24"/>
              </w:rPr>
              <w:t xml:space="preserve">Executive Functions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Guide appropriate goal-setting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 xml:space="preserve">Support planning and strategy development </w:t>
            </w:r>
          </w:p>
          <w:p w:rsidR="002B49CE" w:rsidRPr="00AF084E" w:rsidRDefault="002B49C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>Facilitate managing information and resources</w:t>
            </w:r>
          </w:p>
          <w:p w:rsidR="00AF084E" w:rsidRPr="00AF084E" w:rsidRDefault="00AF084E" w:rsidP="00AF084E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436"/>
              <w:rPr>
                <w:rStyle w:val="A7"/>
                <w:sz w:val="24"/>
                <w:szCs w:val="24"/>
              </w:rPr>
            </w:pPr>
            <w:r w:rsidRPr="00AF084E">
              <w:rPr>
                <w:rStyle w:val="A7"/>
                <w:sz w:val="24"/>
                <w:szCs w:val="24"/>
              </w:rPr>
              <w:t>Enhance capacity for monitoring progress</w:t>
            </w:r>
          </w:p>
        </w:tc>
      </w:tr>
      <w:tr w:rsidR="002B49CE" w:rsidRPr="00AF084E" w:rsidTr="002A1CFF">
        <w:trPr>
          <w:cantSplit/>
        </w:trPr>
        <w:tc>
          <w:tcPr>
            <w:tcW w:w="1705" w:type="dxa"/>
          </w:tcPr>
          <w:p w:rsidR="002B49CE" w:rsidRPr="00AF084E" w:rsidRDefault="002B49CE" w:rsidP="00AF084E">
            <w:pPr>
              <w:spacing w:after="120" w:line="276" w:lineRule="auto"/>
              <w:rPr>
                <w:b/>
              </w:rPr>
            </w:pPr>
            <w:r w:rsidRPr="00AF084E">
              <w:rPr>
                <w:b/>
              </w:rPr>
              <w:t>Goal</w:t>
            </w:r>
          </w:p>
        </w:tc>
        <w:tc>
          <w:tcPr>
            <w:tcW w:w="4228" w:type="dxa"/>
            <w:shd w:val="clear" w:color="auto" w:fill="478F6D"/>
          </w:tcPr>
          <w:p w:rsidR="002B49CE" w:rsidRPr="002A1CFF" w:rsidRDefault="002B49CE" w:rsidP="00AF084E">
            <w:pPr>
              <w:spacing w:after="120" w:line="276" w:lineRule="auto"/>
              <w:rPr>
                <w:rFonts w:cs="Open Sans"/>
                <w:color w:val="FFFFFF" w:themeColor="background1"/>
              </w:rPr>
            </w:pPr>
            <w:r w:rsidRPr="002A1CFF">
              <w:rPr>
                <w:rFonts w:cs="Open Sans Extrabold"/>
                <w:b/>
                <w:bCs/>
                <w:color w:val="FFFFFF" w:themeColor="background1"/>
              </w:rPr>
              <w:t xml:space="preserve">Expert learners </w:t>
            </w:r>
            <w:r w:rsidRPr="002A1CFF">
              <w:rPr>
                <w:rFonts w:cs="Open Sans"/>
                <w:color w:val="FFFFFF" w:themeColor="background1"/>
              </w:rPr>
              <w:t>who are...</w:t>
            </w:r>
          </w:p>
          <w:p w:rsidR="002B49CE" w:rsidRPr="002A1CFF" w:rsidRDefault="002B49CE" w:rsidP="00AF084E">
            <w:pPr>
              <w:spacing w:after="120" w:line="276" w:lineRule="auto"/>
              <w:rPr>
                <w:color w:val="FFFFFF" w:themeColor="background1"/>
              </w:rPr>
            </w:pPr>
            <w:r w:rsidRPr="002A1CFF">
              <w:rPr>
                <w:b/>
                <w:bCs/>
                <w:color w:val="FFFFFF" w:themeColor="background1"/>
              </w:rPr>
              <w:t>Purposeful &amp; Motivated</w:t>
            </w:r>
          </w:p>
        </w:tc>
        <w:tc>
          <w:tcPr>
            <w:tcW w:w="4228" w:type="dxa"/>
            <w:shd w:val="clear" w:color="auto" w:fill="9260CE"/>
          </w:tcPr>
          <w:p w:rsidR="002B49CE" w:rsidRPr="002A1CFF" w:rsidRDefault="002B49CE" w:rsidP="00AF084E">
            <w:pPr>
              <w:spacing w:after="120" w:line="276" w:lineRule="auto"/>
              <w:rPr>
                <w:rFonts w:cs="Open Sans"/>
                <w:color w:val="FFFFFF" w:themeColor="background1"/>
              </w:rPr>
            </w:pPr>
            <w:r w:rsidRPr="002A1CFF">
              <w:rPr>
                <w:rFonts w:cs="Open Sans Extrabold"/>
                <w:b/>
                <w:bCs/>
                <w:color w:val="FFFFFF" w:themeColor="background1"/>
              </w:rPr>
              <w:t xml:space="preserve">Expert learners </w:t>
            </w:r>
            <w:r w:rsidRPr="002A1CFF">
              <w:rPr>
                <w:rFonts w:cs="Open Sans"/>
                <w:color w:val="FFFFFF" w:themeColor="background1"/>
              </w:rPr>
              <w:t>who are...</w:t>
            </w:r>
          </w:p>
          <w:p w:rsidR="00AF084E" w:rsidRPr="002A1CFF" w:rsidRDefault="00AF084E" w:rsidP="00AF084E">
            <w:pPr>
              <w:spacing w:after="120" w:line="276" w:lineRule="auto"/>
              <w:rPr>
                <w:color w:val="FFFFFF" w:themeColor="background1"/>
              </w:rPr>
            </w:pPr>
            <w:r w:rsidRPr="002A1CFF">
              <w:rPr>
                <w:b/>
                <w:bCs/>
                <w:color w:val="FFFFFF" w:themeColor="background1"/>
              </w:rPr>
              <w:t>Resourceful &amp; Knowledgeable</w:t>
            </w:r>
          </w:p>
        </w:tc>
        <w:tc>
          <w:tcPr>
            <w:tcW w:w="4229" w:type="dxa"/>
            <w:shd w:val="clear" w:color="auto" w:fill="3295BC"/>
          </w:tcPr>
          <w:p w:rsidR="002B49CE" w:rsidRPr="002A1CFF" w:rsidRDefault="002B49CE" w:rsidP="00AF084E">
            <w:pPr>
              <w:spacing w:after="120" w:line="276" w:lineRule="auto"/>
              <w:rPr>
                <w:rFonts w:cs="Open Sans"/>
                <w:color w:val="FFFFFF" w:themeColor="background1"/>
              </w:rPr>
            </w:pPr>
            <w:r w:rsidRPr="002A1CFF">
              <w:rPr>
                <w:rFonts w:cs="Open Sans Extrabold"/>
                <w:b/>
                <w:bCs/>
                <w:color w:val="FFFFFF" w:themeColor="background1"/>
              </w:rPr>
              <w:t xml:space="preserve">Expert learners </w:t>
            </w:r>
            <w:r w:rsidRPr="002A1CFF">
              <w:rPr>
                <w:rFonts w:cs="Open Sans"/>
                <w:color w:val="FFFFFF" w:themeColor="background1"/>
              </w:rPr>
              <w:t>who are...</w:t>
            </w:r>
          </w:p>
          <w:p w:rsidR="00AF084E" w:rsidRPr="002A1CFF" w:rsidRDefault="00AF084E" w:rsidP="00AF084E">
            <w:pPr>
              <w:spacing w:after="120" w:line="276" w:lineRule="auto"/>
              <w:rPr>
                <w:color w:val="FFFFFF" w:themeColor="background1"/>
              </w:rPr>
            </w:pPr>
            <w:r w:rsidRPr="002A1CFF">
              <w:rPr>
                <w:b/>
                <w:bCs/>
                <w:color w:val="FFFFFF" w:themeColor="background1"/>
              </w:rPr>
              <w:t>Strategic &amp; Goal-Directed</w:t>
            </w:r>
          </w:p>
        </w:tc>
      </w:tr>
    </w:tbl>
    <w:p w:rsidR="002B49CE" w:rsidRPr="00AF084E" w:rsidRDefault="00AF084E" w:rsidP="002A1CFF">
      <w:pPr>
        <w:spacing w:before="240" w:after="120" w:line="276" w:lineRule="auto"/>
      </w:pPr>
      <w:hyperlink r:id="rId5" w:history="1">
        <w:r w:rsidRPr="00AF084E">
          <w:rPr>
            <w:rStyle w:val="Hyperlink"/>
            <w:rFonts w:cs="Open Sans Extrabold"/>
          </w:rPr>
          <w:t>The UDL Guidelines</w:t>
        </w:r>
      </w:hyperlink>
      <w:r w:rsidRPr="00AF084E">
        <w:rPr>
          <w:rFonts w:cs="Open Sans Extrabold"/>
          <w:b/>
          <w:bCs/>
          <w:color w:val="252D2E"/>
        </w:rPr>
        <w:t xml:space="preserve"> </w:t>
      </w:r>
      <w:r w:rsidRPr="00AF084E">
        <w:rPr>
          <w:rFonts w:cs="Open Sans"/>
          <w:color w:val="252D2E"/>
        </w:rPr>
        <w:t>| © CAST, Inc. 2018 | Suggested Citation: CAST (2018). Universal design for learning guidelines version 2.2 [graphic organizer]. Wakefield, MA: Author.</w:t>
      </w:r>
    </w:p>
    <w:sectPr w:rsidR="002B49CE" w:rsidRPr="00AF084E" w:rsidSect="002B49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91C"/>
    <w:multiLevelType w:val="hybridMultilevel"/>
    <w:tmpl w:val="5C70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CE"/>
    <w:rsid w:val="00245F15"/>
    <w:rsid w:val="002A1CFF"/>
    <w:rsid w:val="002B49CE"/>
    <w:rsid w:val="00860D17"/>
    <w:rsid w:val="0093762E"/>
    <w:rsid w:val="00A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9C59"/>
  <w15:chartTrackingRefBased/>
  <w15:docId w15:val="{FE841779-4185-4196-937D-B43067EB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9CE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49CE"/>
    <w:pPr>
      <w:tabs>
        <w:tab w:val="left" w:pos="6120"/>
      </w:tabs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2B49CE"/>
    <w:rPr>
      <w:rFonts w:ascii="Verdana" w:hAnsi="Verdana"/>
      <w:b/>
      <w:sz w:val="24"/>
      <w:szCs w:val="24"/>
    </w:rPr>
  </w:style>
  <w:style w:type="table" w:styleId="TableGrid">
    <w:name w:val="Table Grid"/>
    <w:basedOn w:val="TableNormal"/>
    <w:uiPriority w:val="39"/>
    <w:rsid w:val="002B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49C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B49C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B49CE"/>
    <w:rPr>
      <w:rFonts w:cs="Open Sans"/>
      <w:color w:val="252D2E"/>
      <w:sz w:val="18"/>
      <w:szCs w:val="18"/>
    </w:rPr>
  </w:style>
  <w:style w:type="character" w:customStyle="1" w:styleId="A6">
    <w:name w:val="A6"/>
    <w:uiPriority w:val="99"/>
    <w:rsid w:val="002B49CE"/>
    <w:rPr>
      <w:rFonts w:ascii="Open Sans Extrabold" w:hAnsi="Open Sans Extrabold" w:cs="Open Sans Extrabold"/>
      <w:b/>
      <w:bCs/>
      <w:color w:val="252D2E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2B49CE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2B49CE"/>
    <w:rPr>
      <w:rFonts w:cs="Open Sans"/>
      <w:color w:val="252D2E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AF08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dlguidelines.ca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UDL Infographic</dc:title>
  <dc:subject/>
  <dc:creator>Marguerite Miles</dc:creator>
  <cp:keywords/>
  <dc:description/>
  <cp:lastModifiedBy>Marguerite Miles</cp:lastModifiedBy>
  <cp:revision>2</cp:revision>
  <dcterms:created xsi:type="dcterms:W3CDTF">2021-02-25T22:32:00Z</dcterms:created>
  <dcterms:modified xsi:type="dcterms:W3CDTF">2021-02-25T23:09:00Z</dcterms:modified>
</cp:coreProperties>
</file>