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3D35" w:rsidRPr="000E33D1" w:rsidRDefault="000E33D1" w:rsidP="000E33D1">
      <w:pPr>
        <w:pStyle w:val="Heading1"/>
        <w:rPr>
          <w:sz w:val="28"/>
          <w:szCs w:val="28"/>
          <w:u w:val="none"/>
        </w:rPr>
      </w:pPr>
      <w:r w:rsidRPr="000E33D1">
        <w:rPr>
          <w:sz w:val="28"/>
          <w:szCs w:val="28"/>
          <w:u w:val="none"/>
        </w:rPr>
        <w:t>Common Features of a Division Data Dashboard</w:t>
      </w:r>
    </w:p>
    <w:p w14:paraId="00000003" w14:textId="249A8033" w:rsidR="009B3D35" w:rsidRDefault="000E33D1">
      <w:pPr>
        <w:rPr>
          <w:rFonts w:ascii="Calibri" w:eastAsia="Calibri" w:hAnsi="Calibri" w:cs="Calibri"/>
        </w:rPr>
      </w:pPr>
      <w:r>
        <w:rPr>
          <w:rFonts w:ascii="Calibri" w:eastAsia="Calibri" w:hAnsi="Calibri" w:cs="Calibri"/>
        </w:rPr>
        <w:t xml:space="preserve">In general, a division dashboard looks at </w:t>
      </w:r>
      <w:r>
        <w:rPr>
          <w:rFonts w:ascii="Calibri" w:eastAsia="Calibri" w:hAnsi="Calibri" w:cs="Calibri"/>
          <w:b/>
        </w:rPr>
        <w:t xml:space="preserve">Attendance, Academics, Behavior, and Mental Wellness. </w:t>
      </w:r>
    </w:p>
    <w:p w14:paraId="00000004"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The division dashboard is a collection of consistent data from each school</w:t>
      </w:r>
    </w:p>
    <w:p w14:paraId="00000005"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The division should have access to school dashboards</w:t>
      </w:r>
    </w:p>
    <w:p w14:paraId="00000006"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The division level starts with the “balcony view”</w:t>
      </w:r>
    </w:p>
    <w:p w14:paraId="00000007"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Elementary will look different than secondary</w:t>
      </w:r>
      <w:proofErr w:type="gramStart"/>
      <w:r>
        <w:rPr>
          <w:rFonts w:ascii="Calibri" w:eastAsia="Calibri" w:hAnsi="Calibri" w:cs="Calibri"/>
        </w:rPr>
        <w:t xml:space="preserve">.  </w:t>
      </w:r>
      <w:proofErr w:type="gramEnd"/>
      <w:r>
        <w:rPr>
          <w:rFonts w:ascii="Calibri" w:eastAsia="Calibri" w:hAnsi="Calibri" w:cs="Calibri"/>
        </w:rPr>
        <w:t>Secondary generally uses an early warning system.</w:t>
      </w:r>
    </w:p>
    <w:p w14:paraId="00000008"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It is necessary to have the capability to disaggregate the data</w:t>
      </w:r>
    </w:p>
    <w:p w14:paraId="00000009"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 xml:space="preserve">It is necessary  to know how to calculate and understand risk ratios </w:t>
      </w:r>
    </w:p>
    <w:p w14:paraId="0000000A"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Divisions and schools are aware of the impact of indicators that lead to future dropouts ( the Montgomery County Maryland risk research is one such study of risk factors)</w:t>
      </w:r>
    </w:p>
    <w:p w14:paraId="0000000B" w14:textId="77777777" w:rsidR="009B3D35" w:rsidRDefault="000E33D1" w:rsidP="000E33D1">
      <w:pPr>
        <w:numPr>
          <w:ilvl w:val="0"/>
          <w:numId w:val="1"/>
        </w:numPr>
        <w:spacing w:after="0"/>
        <w:rPr>
          <w:rFonts w:ascii="Calibri" w:eastAsia="Calibri" w:hAnsi="Calibri" w:cs="Calibri"/>
        </w:rPr>
      </w:pPr>
      <w:r>
        <w:rPr>
          <w:rFonts w:ascii="Calibri" w:eastAsia="Calibri" w:hAnsi="Calibri" w:cs="Calibri"/>
        </w:rPr>
        <w:t>Data sets on the dashboard are used to progress monitor continuous improvement and other division goals</w:t>
      </w:r>
    </w:p>
    <w:p w14:paraId="0000000D" w14:textId="77777777" w:rsidR="009B3D35" w:rsidRPr="000E33D1" w:rsidRDefault="000E33D1" w:rsidP="000E33D1">
      <w:pPr>
        <w:pStyle w:val="Heading2"/>
      </w:pPr>
      <w:r w:rsidRPr="000E33D1">
        <w:t xml:space="preserve">Attendance </w:t>
      </w:r>
    </w:p>
    <w:p w14:paraId="0000000E" w14:textId="03798D8A" w:rsidR="009B3D35" w:rsidRDefault="000E33D1">
      <w:pPr>
        <w:rPr>
          <w:rFonts w:ascii="Calibri" w:eastAsia="Calibri" w:hAnsi="Calibri" w:cs="Calibri"/>
        </w:rPr>
      </w:pPr>
      <w:r>
        <w:rPr>
          <w:rFonts w:ascii="Calibri" w:eastAsia="Calibri" w:hAnsi="Calibri" w:cs="Calibri"/>
        </w:rPr>
        <w:t>Data is oftentimes reported as % of students chronically absent by month (this is preferable to average daily attendance)</w:t>
      </w:r>
    </w:p>
    <w:p w14:paraId="0000000F" w14:textId="15E27C75" w:rsidR="009B3D35" w:rsidRDefault="000E33D1">
      <w:pPr>
        <w:rPr>
          <w:rFonts w:ascii="Calibri" w:eastAsia="Calibri" w:hAnsi="Calibri" w:cs="Calibri"/>
        </w:rPr>
      </w:pPr>
      <w:r>
        <w:rPr>
          <w:rFonts w:ascii="Calibri" w:eastAsia="Calibri" w:hAnsi="Calibri" w:cs="Calibri"/>
        </w:rPr>
        <w:t>Division may add grade levels, subgroups, etc. as needed to the balcony view</w:t>
      </w:r>
    </w:p>
    <w:p w14:paraId="00000011" w14:textId="77777777" w:rsidR="009B3D35" w:rsidRDefault="000E33D1" w:rsidP="000E33D1">
      <w:pPr>
        <w:pStyle w:val="Heading2"/>
      </w:pPr>
      <w:r>
        <w:t>Academics</w:t>
      </w:r>
    </w:p>
    <w:p w14:paraId="00000012" w14:textId="5634E3FE" w:rsidR="009B3D35" w:rsidRDefault="000E33D1" w:rsidP="000E33D1">
      <w:r>
        <w:t xml:space="preserve">Data vary based on uniform division assessments (refer to assessment inventory) and how grade levels are targeted. Generally, SOLs, WIDA scores, and benchmarks are considered. Divisions use their universal screening data and make determinations such as </w:t>
      </w:r>
      <w:proofErr w:type="gramStart"/>
      <w:r>
        <w:t>%</w:t>
      </w:r>
      <w:proofErr w:type="gramEnd"/>
      <w:r>
        <w:t xml:space="preserve"> of students who meet the cut score on the screener. </w:t>
      </w:r>
      <w:proofErr w:type="gramStart"/>
      <w:r>
        <w:t>Also</w:t>
      </w:r>
      <w:proofErr w:type="gramEnd"/>
      <w:r>
        <w:t>, if they have reading level data in addition to PALS (elementary), divisions will use this assessment or other formative assessment.</w:t>
      </w:r>
    </w:p>
    <w:p w14:paraId="00000014" w14:textId="164C1B5B" w:rsidR="009B3D35" w:rsidRDefault="000E33D1">
      <w:pPr>
        <w:rPr>
          <w:rFonts w:ascii="Calibri" w:eastAsia="Calibri" w:hAnsi="Calibri" w:cs="Calibri"/>
        </w:rPr>
      </w:pPr>
      <w:r>
        <w:rPr>
          <w:rFonts w:ascii="Calibri" w:eastAsia="Calibri" w:hAnsi="Calibri" w:cs="Calibri"/>
        </w:rPr>
        <w:t xml:space="preserve">Secondary schools have the early warning indicators, with graduation indicators; sometimes </w:t>
      </w:r>
      <w:proofErr w:type="gramStart"/>
      <w:r>
        <w:rPr>
          <w:rFonts w:ascii="Calibri" w:eastAsia="Calibri" w:hAnsi="Calibri" w:cs="Calibri"/>
        </w:rPr>
        <w:t>%</w:t>
      </w:r>
      <w:proofErr w:type="gramEnd"/>
      <w:r>
        <w:rPr>
          <w:rFonts w:ascii="Calibri" w:eastAsia="Calibri" w:hAnsi="Calibri" w:cs="Calibri"/>
        </w:rPr>
        <w:t xml:space="preserve"> of students with C or above grades are included, though there is variability in grades. Students with lower GPAs are at risk, even though they are passing. Verified credits are included on the dashboard for schools and </w:t>
      </w:r>
      <w:proofErr w:type="gramStart"/>
      <w:r>
        <w:rPr>
          <w:rFonts w:ascii="Calibri" w:eastAsia="Calibri" w:hAnsi="Calibri" w:cs="Calibri"/>
        </w:rPr>
        <w:t>might be reflected</w:t>
      </w:r>
      <w:proofErr w:type="gramEnd"/>
      <w:r>
        <w:rPr>
          <w:rFonts w:ascii="Calibri" w:eastAsia="Calibri" w:hAnsi="Calibri" w:cs="Calibri"/>
        </w:rPr>
        <w:t xml:space="preserve"> on a division dashboard as percent of students on track for graduation. Formative assessments </w:t>
      </w:r>
      <w:proofErr w:type="gramStart"/>
      <w:r>
        <w:rPr>
          <w:rFonts w:ascii="Calibri" w:eastAsia="Calibri" w:hAnsi="Calibri" w:cs="Calibri"/>
        </w:rPr>
        <w:t>are sometimes used</w:t>
      </w:r>
      <w:proofErr w:type="gramEnd"/>
      <w:r>
        <w:rPr>
          <w:rFonts w:ascii="Calibri" w:eastAsia="Calibri" w:hAnsi="Calibri" w:cs="Calibri"/>
        </w:rPr>
        <w:t xml:space="preserve"> in middle schools as well.</w:t>
      </w:r>
    </w:p>
    <w:p w14:paraId="00000016" w14:textId="77777777" w:rsidR="009B3D35" w:rsidRDefault="000E33D1" w:rsidP="000E33D1">
      <w:pPr>
        <w:pStyle w:val="Heading2"/>
      </w:pPr>
      <w:r>
        <w:t xml:space="preserve">Behavior </w:t>
      </w:r>
    </w:p>
    <w:p w14:paraId="00000017" w14:textId="36AD61D5" w:rsidR="009B3D35" w:rsidRDefault="000E33D1" w:rsidP="000E33D1">
      <w:r>
        <w:t>These data vary based on data collection systems. However, it is typically Office Discipline Referrals and out-of-school suspensions. Some divisions/schools utilize a behavior screener, and those data would also be on the dashboard</w:t>
      </w:r>
      <w:proofErr w:type="gramStart"/>
      <w:r>
        <w:t xml:space="preserve">.  </w:t>
      </w:r>
      <w:proofErr w:type="gramEnd"/>
      <w:r>
        <w:t>Divisions that utilize SWIS would have the capacity to view division data as well as school data.</w:t>
      </w:r>
    </w:p>
    <w:p w14:paraId="62E68D27" w14:textId="77777777" w:rsidR="000E33D1" w:rsidRDefault="000E33D1" w:rsidP="000E33D1">
      <w:pPr>
        <w:pStyle w:val="Heading2"/>
      </w:pPr>
      <w:bookmarkStart w:id="0" w:name="_heading=h.gjdgxs" w:colFirst="0" w:colLast="0"/>
      <w:bookmarkEnd w:id="0"/>
      <w:r>
        <w:t>Mental wellness</w:t>
      </w:r>
    </w:p>
    <w:p w14:paraId="00000019" w14:textId="41C200BD" w:rsidR="009B3D35" w:rsidRDefault="000E33D1">
      <w:pPr>
        <w:rPr>
          <w:rFonts w:ascii="Calibri" w:eastAsia="Calibri" w:hAnsi="Calibri" w:cs="Calibri"/>
        </w:rPr>
      </w:pPr>
      <w:r w:rsidRPr="000E33D1">
        <w:rPr>
          <w:rFonts w:ascii="Calibri" w:eastAsia="Calibri" w:hAnsi="Calibri" w:cs="Calibri"/>
        </w:rPr>
        <w:t xml:space="preserve">Mental wellness </w:t>
      </w:r>
      <w:r>
        <w:rPr>
          <w:rFonts w:ascii="Calibri" w:eastAsia="Calibri" w:hAnsi="Calibri" w:cs="Calibri"/>
        </w:rPr>
        <w:t xml:space="preserve">data are added if a screener is </w:t>
      </w:r>
      <w:proofErr w:type="gramStart"/>
      <w:r>
        <w:rPr>
          <w:rFonts w:ascii="Calibri" w:eastAsia="Calibri" w:hAnsi="Calibri" w:cs="Calibri"/>
        </w:rPr>
        <w:t>used,</w:t>
      </w:r>
      <w:proofErr w:type="gramEnd"/>
      <w:r>
        <w:rPr>
          <w:rFonts w:ascii="Calibri" w:eastAsia="Calibri" w:hAnsi="Calibri" w:cs="Calibri"/>
        </w:rPr>
        <w:t xml:space="preserve"> or if other data are tracked (e.g., youth survey data, visits to nurse). Otherwise, existing data sets as above </w:t>
      </w:r>
      <w:proofErr w:type="gramStart"/>
      <w:r>
        <w:rPr>
          <w:rFonts w:ascii="Calibri" w:eastAsia="Calibri" w:hAnsi="Calibri" w:cs="Calibri"/>
        </w:rPr>
        <w:t>are considered</w:t>
      </w:r>
      <w:proofErr w:type="gramEnd"/>
      <w:r>
        <w:rPr>
          <w:rFonts w:ascii="Calibri" w:eastAsia="Calibri" w:hAnsi="Calibri" w:cs="Calibri"/>
        </w:rPr>
        <w:t xml:space="preserve"> as well as community data/indicators.</w:t>
      </w:r>
    </w:p>
    <w:p w14:paraId="46F40901" w14:textId="76387499" w:rsidR="000E33D1" w:rsidRDefault="000E33D1">
      <w:pPr>
        <w:rPr>
          <w:rFonts w:ascii="Calibri" w:eastAsia="Calibri" w:hAnsi="Calibri" w:cs="Calibri"/>
        </w:rPr>
      </w:pPr>
      <w:bookmarkStart w:id="1" w:name="_GoBack"/>
      <w:r>
        <w:rPr>
          <w:rFonts w:ascii="Calibri" w:eastAsia="Calibri" w:hAnsi="Calibri" w:cs="Calibri"/>
          <w:noProof/>
        </w:rPr>
        <mc:AlternateContent>
          <mc:Choice Requires="wps">
            <w:drawing>
              <wp:inline distT="0" distB="0" distL="0" distR="0" wp14:anchorId="1366FCAD" wp14:editId="7FA5DDA3">
                <wp:extent cx="6791325" cy="0"/>
                <wp:effectExtent l="38100" t="38100" r="66675" b="95250"/>
                <wp:docPr id="1" name="Straight Connector 1" title="Horizontal line indicating end of descriptions"/>
                <wp:cNvGraphicFramePr/>
                <a:graphic xmlns:a="http://schemas.openxmlformats.org/drawingml/2006/main">
                  <a:graphicData uri="http://schemas.microsoft.com/office/word/2010/wordprocessingShape">
                    <wps:wsp>
                      <wps:cNvCnPr/>
                      <wps:spPr>
                        <a:xfrm>
                          <a:off x="0" y="0"/>
                          <a:ext cx="6791325"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393772C" id="Straight Connector 1" o:spid="_x0000_s1026" alt="Title: Horizontal line indicating end of descriptions" style="visibility:visible;mso-wrap-style:square;mso-left-percent:-10001;mso-top-percent:-10001;mso-position-horizontal:absolute;mso-position-horizontal-relative:char;mso-position-vertical:absolute;mso-position-vertical-relative:line;mso-left-percent:-10001;mso-top-percent:-10001" from="0,0" to="5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" strokecolor="#4f81bd [3204]" strokeweight="1pt">
                <v:shadow on="t" color="black" opacity="24903f" origin=",.5" offset="0,.55556mm"/>
                <w10:anchorlock/>
              </v:line>
            </w:pict>
          </mc:Fallback>
        </mc:AlternateContent>
      </w:r>
      <w:bookmarkEnd w:id="1"/>
    </w:p>
    <w:p w14:paraId="0000001E" w14:textId="6DD87FBC" w:rsidR="009B3D35" w:rsidRDefault="000E33D1">
      <w:pPr>
        <w:rPr>
          <w:rFonts w:ascii="Calibri" w:eastAsia="Calibri" w:hAnsi="Calibri" w:cs="Calibri"/>
        </w:rPr>
      </w:pPr>
      <w:r>
        <w:rPr>
          <w:rFonts w:ascii="Calibri" w:eastAsia="Calibri" w:hAnsi="Calibri" w:cs="Calibri"/>
        </w:rPr>
        <w:t xml:space="preserve">Depending on the size and organization of the division, and if there are areas of particular concern, there are more data points. Each of the above data points has the capacity for drill down for the subgroups. The data collection described above is the balcony view. Different departments have more data (e.g., Special Education and Student Services) that is not on the division dashboard but used for problem solving and monitoring student progress. Further, certain divisions have departments that look at the above data with more scrutiny, e.g., the secondary literacy director has more data for each school. </w:t>
      </w:r>
    </w:p>
    <w:p w14:paraId="0000001F" w14:textId="77777777" w:rsidR="009B3D35" w:rsidRDefault="000E33D1">
      <w:pPr>
        <w:rPr>
          <w:rFonts w:ascii="Calibri" w:eastAsia="Calibri" w:hAnsi="Calibri" w:cs="Calibri"/>
        </w:rPr>
      </w:pPr>
      <w:r>
        <w:rPr>
          <w:rFonts w:ascii="Calibri" w:eastAsia="Calibri" w:hAnsi="Calibri" w:cs="Calibri"/>
        </w:rPr>
        <w:t xml:space="preserve">Updated </w:t>
      </w:r>
      <w:proofErr w:type="gramStart"/>
      <w:r>
        <w:rPr>
          <w:rFonts w:ascii="Calibri" w:eastAsia="Calibri" w:hAnsi="Calibri" w:cs="Calibri"/>
        </w:rPr>
        <w:t>September,</w:t>
      </w:r>
      <w:proofErr w:type="gramEnd"/>
      <w:r>
        <w:rPr>
          <w:rFonts w:ascii="Calibri" w:eastAsia="Calibri" w:hAnsi="Calibri" w:cs="Calibri"/>
        </w:rPr>
        <w:t xml:space="preserve"> 2020</w:t>
      </w:r>
    </w:p>
    <w:sectPr w:rsidR="009B3D35" w:rsidSect="000E33D1">
      <w:pgSz w:w="12240" w:h="15840"/>
      <w:pgMar w:top="720"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25A30"/>
    <w:multiLevelType w:val="multilevel"/>
    <w:tmpl w:val="7CB4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35"/>
    <w:rsid w:val="000E33D1"/>
    <w:rsid w:val="007D7A5A"/>
    <w:rsid w:val="009B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54F9"/>
  <w15:docId w15:val="{912ACB16-B45E-4F2D-8EA1-B185EBA1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D1"/>
    <w:pPr>
      <w:spacing w:after="120"/>
    </w:pPr>
  </w:style>
  <w:style w:type="paragraph" w:styleId="Heading1">
    <w:name w:val="heading 1"/>
    <w:basedOn w:val="Normal"/>
    <w:next w:val="Normal"/>
    <w:rsid w:val="000E33D1"/>
    <w:pPr>
      <w:spacing w:after="240"/>
      <w:outlineLvl w:val="0"/>
    </w:pPr>
    <w:rPr>
      <w:rFonts w:ascii="Calibri" w:eastAsia="Calibri" w:hAnsi="Calibri" w:cs="Calibri"/>
      <w:b/>
      <w:u w:val="single"/>
    </w:rPr>
  </w:style>
  <w:style w:type="paragraph" w:styleId="Heading2">
    <w:name w:val="heading 2"/>
    <w:basedOn w:val="Normal"/>
    <w:next w:val="Normal"/>
    <w:rsid w:val="000E33D1"/>
    <w:pPr>
      <w:spacing w:before="120"/>
      <w:outlineLvl w:val="1"/>
    </w:pPr>
    <w:rPr>
      <w:rFonts w:ascii="Calibri" w:eastAsia="Calibri" w:hAnsi="Calibri" w:cs="Calibri"/>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N9sg41xd9U/gyepZmU3UpZ5ZA==">AMUW2mUBodvEL9uWCWgL3luVewC1bD5ESPQa5uOaUboce+1HToBAo6IUQVQRvRU5FD0eLNHnkGIuHghh2N+ISzrnSpIgmNNLDlsk0DD0nokIQDsP5y6Hrf/f3K3eqP0GI8+MXr58MRWq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 Features of a Division Data Dashboard</vt:lpstr>
    </vt:vector>
  </TitlesOfParts>
  <Company>Virginia Commonwealth University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Features of a Division Data Dashboard</dc:title>
  <dc:creator>Regina Pierce</dc:creator>
  <cp:lastModifiedBy>Marguerite Miles</cp:lastModifiedBy>
  <cp:revision>3</cp:revision>
  <dcterms:created xsi:type="dcterms:W3CDTF">2018-11-29T16:16:00Z</dcterms:created>
  <dcterms:modified xsi:type="dcterms:W3CDTF">2020-09-26T17:04:00Z</dcterms:modified>
</cp:coreProperties>
</file>