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0B" w:rsidRPr="00944761" w:rsidRDefault="00D12440" w:rsidP="00944761">
      <w:pPr>
        <w:pStyle w:val="Heading1"/>
      </w:pPr>
      <w:r w:rsidRPr="00944761">
        <w:t>Action Plan #1: Aligned Organizational Structure: The elements of a tiered system exist at the division, school, and classroom levels and are compatible.</w:t>
      </w:r>
    </w:p>
    <w:p w:rsidR="0018580B" w:rsidRPr="00944761" w:rsidRDefault="00D12440" w:rsidP="00944761">
      <w:pPr>
        <w:pStyle w:val="Heading2"/>
      </w:pPr>
      <w:r w:rsidRPr="00944761">
        <w:t>Feature 1.F Aligned and Effective Resources for Multi-Tiered Supports (Operationalizing the multi-tiered system)</w:t>
      </w:r>
    </w:p>
    <w:p w:rsidR="0018580B" w:rsidRPr="00944761" w:rsidRDefault="00D12440">
      <w:pPr>
        <w:widowControl w:val="0"/>
        <w:spacing w:after="120"/>
        <w:rPr>
          <w:sz w:val="24"/>
          <w:szCs w:val="24"/>
        </w:rPr>
      </w:pPr>
      <w:r w:rsidRPr="00944761">
        <w:rPr>
          <w:sz w:val="24"/>
          <w:szCs w:val="24"/>
        </w:rPr>
        <w:t>P</w:t>
      </w:r>
      <w:r w:rsidRPr="00944761">
        <w:rPr>
          <w:sz w:val="24"/>
          <w:szCs w:val="24"/>
        </w:rPr>
        <w:t>hase of Implementation (check one)</w:t>
      </w:r>
    </w:p>
    <w:p w:rsidR="0018580B" w:rsidRPr="00944761" w:rsidRDefault="00D1244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>Exploration: The DLT explores options for organization around providing evidence-based interventions, inclu</w:t>
      </w:r>
      <w:r w:rsidRPr="00944761">
        <w:rPr>
          <w:sz w:val="24"/>
          <w:szCs w:val="24"/>
        </w:rPr>
        <w:t xml:space="preserve">ding </w:t>
      </w:r>
      <w:proofErr w:type="gramStart"/>
      <w:r w:rsidRPr="00944761">
        <w:rPr>
          <w:sz w:val="24"/>
          <w:szCs w:val="24"/>
        </w:rPr>
        <w:t>schedules,</w:t>
      </w:r>
      <w:proofErr w:type="gramEnd"/>
      <w:r w:rsidRPr="00944761">
        <w:rPr>
          <w:sz w:val="24"/>
          <w:szCs w:val="24"/>
        </w:rPr>
        <w:t xml:space="preserve"> resources, desired group size, and need for professional development.</w:t>
      </w:r>
    </w:p>
    <w:p w:rsidR="0018580B" w:rsidRPr="00944761" w:rsidRDefault="00D1244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>Installation: The DLT develops a guidance document describing appropriate group time, time allotment, staff training, fidelity measures, and decision rules to ensure effi</w:t>
      </w:r>
      <w:r w:rsidRPr="00944761">
        <w:rPr>
          <w:sz w:val="24"/>
          <w:szCs w:val="24"/>
        </w:rPr>
        <w:t xml:space="preserve">cient and effective allocation. Fidelity measures </w:t>
      </w:r>
      <w:proofErr w:type="gramStart"/>
      <w:r w:rsidRPr="00944761">
        <w:rPr>
          <w:sz w:val="24"/>
          <w:szCs w:val="24"/>
        </w:rPr>
        <w:t>are defined</w:t>
      </w:r>
      <w:proofErr w:type="gramEnd"/>
      <w:r w:rsidRPr="00944761">
        <w:rPr>
          <w:sz w:val="24"/>
          <w:szCs w:val="24"/>
        </w:rPr>
        <w:t>.</w:t>
      </w:r>
    </w:p>
    <w:p w:rsidR="0018580B" w:rsidRPr="00944761" w:rsidRDefault="00D12440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>Initial Implementation: The DLT provides support for school teams in creating the organization around providing interventions stated specifically in the continuum of supports. Fidelity measures</w:t>
      </w:r>
      <w:r w:rsidRPr="00944761">
        <w:rPr>
          <w:sz w:val="24"/>
          <w:szCs w:val="24"/>
        </w:rPr>
        <w:t xml:space="preserve"> </w:t>
      </w:r>
      <w:proofErr w:type="gramStart"/>
      <w:r w:rsidRPr="00944761">
        <w:rPr>
          <w:sz w:val="24"/>
          <w:szCs w:val="24"/>
        </w:rPr>
        <w:t>are used</w:t>
      </w:r>
      <w:proofErr w:type="gramEnd"/>
      <w:r w:rsidRPr="00944761">
        <w:rPr>
          <w:sz w:val="24"/>
          <w:szCs w:val="24"/>
        </w:rPr>
        <w:t xml:space="preserve"> to ensure integrity of implementation.</w:t>
      </w:r>
    </w:p>
    <w:p w:rsidR="0018580B" w:rsidRPr="00944761" w:rsidRDefault="00D12440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944761">
        <w:rPr>
          <w:sz w:val="24"/>
          <w:szCs w:val="24"/>
        </w:rPr>
        <w:t xml:space="preserve">Full Implementation: The DLT collaborates with the SLT to measure impact on students’ outcomes and evaluate the efficacy of the instruction/intervention at universal and advanced tiers. Resources </w:t>
      </w:r>
      <w:proofErr w:type="gramStart"/>
      <w:r w:rsidRPr="00944761">
        <w:rPr>
          <w:sz w:val="24"/>
          <w:szCs w:val="24"/>
        </w:rPr>
        <w:t>are allocat</w:t>
      </w:r>
      <w:r w:rsidRPr="00944761">
        <w:rPr>
          <w:sz w:val="24"/>
          <w:szCs w:val="24"/>
        </w:rPr>
        <w:t>ed</w:t>
      </w:r>
      <w:proofErr w:type="gramEnd"/>
      <w:r w:rsidRPr="00944761">
        <w:rPr>
          <w:sz w:val="24"/>
          <w:szCs w:val="24"/>
        </w:rPr>
        <w:t xml:space="preserve"> strategically to mitigate potential or existing inequities.</w:t>
      </w:r>
    </w:p>
    <w:p w:rsidR="0018580B" w:rsidRDefault="00D12440" w:rsidP="00944761">
      <w:pPr>
        <w:pStyle w:val="Heading2"/>
        <w:sectPr w:rsidR="0018580B">
          <w:headerReference w:type="default" r:id="rId7"/>
          <w:pgSz w:w="15840" w:h="12240"/>
          <w:pgMar w:top="1440" w:right="720" w:bottom="720" w:left="720" w:header="720" w:footer="720" w:gutter="0"/>
          <w:pgNumType w:start="1"/>
          <w:cols w:space="720"/>
        </w:sectPr>
      </w:pPr>
      <w:bookmarkStart w:id="0" w:name="_uu1zyzjgfd2c" w:colFirst="0" w:colLast="0"/>
      <w:bookmarkEnd w:id="0"/>
      <w:r>
        <w:t>Evaluation Measure/Evidence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</w:t>
      </w:r>
      <w:r w:rsidRPr="00944761">
        <w:rPr>
          <w:sz w:val="24"/>
          <w:szCs w:val="24"/>
        </w:rPr>
        <w:t>CA 17: Building Implementation Teams (BITs) are developed and functioning to support implementation of VTSS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Buildings are able to score a 2 on TFI: 1.9</w:t>
      </w:r>
      <w:proofErr w:type="gramStart"/>
      <w:r w:rsidRPr="00944761">
        <w:rPr>
          <w:sz w:val="24"/>
          <w:szCs w:val="24"/>
        </w:rPr>
        <w:t>,1.3</w:t>
      </w:r>
      <w:proofErr w:type="gramEnd"/>
      <w:r w:rsidRPr="00944761">
        <w:rPr>
          <w:sz w:val="24"/>
          <w:szCs w:val="24"/>
        </w:rPr>
        <w:t>, 1.14, 2.5, 2.6, 2.7. 2.8, 3.5, 3.11, 3.13</w:t>
      </w:r>
    </w:p>
    <w:p w:rsidR="0018580B" w:rsidRPr="00944761" w:rsidRDefault="00D12440">
      <w:pPr>
        <w:rPr>
          <w:sz w:val="24"/>
          <w:szCs w:val="24"/>
        </w:rPr>
        <w:sectPr w:rsidR="0018580B" w:rsidRPr="00944761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 w:rsidRPr="00944761">
        <w:rPr>
          <w:sz w:val="24"/>
          <w:szCs w:val="24"/>
        </w:rPr>
        <w:t>Buildings are able to fully im</w:t>
      </w:r>
      <w:r w:rsidRPr="00944761">
        <w:rPr>
          <w:sz w:val="24"/>
          <w:szCs w:val="24"/>
        </w:rPr>
        <w:t>plement A-TFI 1.3, 1.14 1.7C 1.9, 1.14</w:t>
      </w:r>
      <w:proofErr w:type="gramStart"/>
      <w:r w:rsidRPr="00944761">
        <w:rPr>
          <w:sz w:val="24"/>
          <w:szCs w:val="24"/>
        </w:rPr>
        <w:t>,  2.4</w:t>
      </w:r>
      <w:proofErr w:type="gramEnd"/>
      <w:r w:rsidRPr="00944761">
        <w:rPr>
          <w:sz w:val="24"/>
          <w:szCs w:val="24"/>
        </w:rPr>
        <w:t>, 2.8, 3.7 Other:</w:t>
      </w: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eature 1.F Action Plan"/>
      </w:tblPr>
      <w:tblGrid>
        <w:gridCol w:w="5485"/>
        <w:gridCol w:w="3240"/>
        <w:gridCol w:w="2160"/>
        <w:gridCol w:w="3420"/>
      </w:tblGrid>
      <w:tr w:rsidR="0018580B" w:rsidTr="00944761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/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/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</w:tr>
      <w:tr w:rsidR="00944761">
        <w:trPr>
          <w:trHeight w:val="720"/>
        </w:trPr>
        <w:tc>
          <w:tcPr>
            <w:tcW w:w="5485" w:type="dxa"/>
            <w:shd w:val="clear" w:color="auto" w:fill="auto"/>
          </w:tcPr>
          <w:p w:rsidR="00944761" w:rsidRDefault="00944761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944761" w:rsidRDefault="00944761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944761" w:rsidRDefault="00944761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944761" w:rsidRDefault="00944761">
            <w:pPr>
              <w:jc w:val="center"/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</w:tr>
    </w:tbl>
    <w:p w:rsidR="0018580B" w:rsidRDefault="0018580B">
      <w:pPr>
        <w:widowControl w:val="0"/>
        <w:spacing w:after="120"/>
        <w:rPr>
          <w:b/>
          <w:sz w:val="22"/>
          <w:szCs w:val="22"/>
        </w:rPr>
      </w:pPr>
    </w:p>
    <w:p w:rsidR="0018580B" w:rsidRDefault="00D12440" w:rsidP="00944761">
      <w:pPr>
        <w:pStyle w:val="Heading1"/>
      </w:pPr>
      <w:r>
        <w:t>Action Plan #2: Data-Informed Decision Making: Analyzing and evaluating student data to inform educational decisions around instruction, intervention, allocation of resources, development of policy, movement within a multi-level system, and disability iden</w:t>
      </w:r>
      <w:r>
        <w:t>tification</w:t>
      </w:r>
    </w:p>
    <w:p w:rsidR="0018580B" w:rsidRDefault="00D12440" w:rsidP="00944761">
      <w:pPr>
        <w:pStyle w:val="Heading2"/>
      </w:pPr>
      <w:r>
        <w:t>Feature 2.B Decision Making Process (Using Data-Informed Decision Making in a Problem-Solving Process)</w:t>
      </w:r>
    </w:p>
    <w:p w:rsidR="0018580B" w:rsidRPr="00944761" w:rsidRDefault="00D12440">
      <w:p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>P</w:t>
      </w:r>
      <w:r w:rsidRPr="00944761">
        <w:rPr>
          <w:sz w:val="24"/>
          <w:szCs w:val="24"/>
        </w:rPr>
        <w:t>hase of Implementation (check one)</w:t>
      </w:r>
    </w:p>
    <w:p w:rsidR="0018580B" w:rsidRPr="00944761" w:rsidRDefault="00D124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 xml:space="preserve">Exploration: The DLT explores current and proposed methods for structured problem solving. The DLT adopts </w:t>
      </w:r>
      <w:r w:rsidRPr="00944761">
        <w:rPr>
          <w:sz w:val="24"/>
          <w:szCs w:val="24"/>
        </w:rPr>
        <w:t xml:space="preserve">a clear process for data-informed </w:t>
      </w:r>
      <w:proofErr w:type="gramStart"/>
      <w:r w:rsidRPr="00944761">
        <w:rPr>
          <w:sz w:val="24"/>
          <w:szCs w:val="24"/>
        </w:rPr>
        <w:t>decision making</w:t>
      </w:r>
      <w:proofErr w:type="gramEnd"/>
      <w:r w:rsidRPr="00944761">
        <w:rPr>
          <w:sz w:val="24"/>
          <w:szCs w:val="24"/>
        </w:rPr>
        <w:t xml:space="preserve"> and a format for meetings with a focus on teaching and learning using integrated data sources.</w:t>
      </w:r>
    </w:p>
    <w:p w:rsidR="0018580B" w:rsidRPr="00944761" w:rsidRDefault="00D12440">
      <w:pPr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944761">
        <w:rPr>
          <w:sz w:val="24"/>
          <w:szCs w:val="24"/>
        </w:rPr>
        <w:t>Installation: The adopted decision-making process includes actions to interrupt potential bias that may occur d</w:t>
      </w:r>
      <w:r w:rsidRPr="00944761">
        <w:rPr>
          <w:sz w:val="24"/>
          <w:szCs w:val="24"/>
        </w:rPr>
        <w:t xml:space="preserve">uring </w:t>
      </w:r>
      <w:proofErr w:type="gramStart"/>
      <w:r w:rsidRPr="00944761">
        <w:rPr>
          <w:sz w:val="24"/>
          <w:szCs w:val="24"/>
        </w:rPr>
        <w:t>decision making</w:t>
      </w:r>
      <w:proofErr w:type="gramEnd"/>
      <w:r w:rsidRPr="00944761">
        <w:rPr>
          <w:sz w:val="24"/>
          <w:szCs w:val="24"/>
        </w:rPr>
        <w:t>. The DLT provides learning and coaching to division and building level teams around the decision making process.</w:t>
      </w:r>
    </w:p>
    <w:p w:rsidR="0018580B" w:rsidRPr="00944761" w:rsidRDefault="00D12440">
      <w:pPr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944761">
        <w:rPr>
          <w:sz w:val="24"/>
          <w:szCs w:val="24"/>
        </w:rPr>
        <w:t>Initial Implementation: A decision making process is used with fidelity and data are used as follows: fidelity data (to i</w:t>
      </w:r>
      <w:r w:rsidRPr="00944761">
        <w:rPr>
          <w:sz w:val="24"/>
          <w:szCs w:val="24"/>
        </w:rPr>
        <w:t xml:space="preserve">mprove implementation), student outcome data (impact of VTSS on student outcomes), </w:t>
      </w:r>
      <w:proofErr w:type="gramStart"/>
      <w:r w:rsidRPr="00944761">
        <w:rPr>
          <w:sz w:val="24"/>
          <w:szCs w:val="24"/>
        </w:rPr>
        <w:t>capacity</w:t>
      </w:r>
      <w:proofErr w:type="gramEnd"/>
      <w:r w:rsidRPr="00944761">
        <w:rPr>
          <w:sz w:val="24"/>
          <w:szCs w:val="24"/>
        </w:rPr>
        <w:t xml:space="preserve"> data (to enhance organizational capacity supports).</w:t>
      </w:r>
    </w:p>
    <w:p w:rsidR="0018580B" w:rsidRPr="00944761" w:rsidRDefault="00D12440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944761">
        <w:rPr>
          <w:sz w:val="24"/>
          <w:szCs w:val="24"/>
        </w:rPr>
        <w:t>Full Implementation: The DLT analyzes fidelity and outcome data and adjusts implementation and professional lear</w:t>
      </w:r>
      <w:r w:rsidRPr="00944761">
        <w:rPr>
          <w:sz w:val="24"/>
          <w:szCs w:val="24"/>
        </w:rPr>
        <w:t>ning/coaching based on the data. The DLT utilizes scale-up data to create implementation plans for schools based on stages of implementation.</w:t>
      </w:r>
    </w:p>
    <w:p w:rsidR="0018580B" w:rsidRDefault="00D12440" w:rsidP="00944761">
      <w:pPr>
        <w:pStyle w:val="Heading2"/>
        <w:rPr>
          <w:sz w:val="20"/>
          <w:szCs w:val="20"/>
        </w:rPr>
        <w:sectPr w:rsidR="0018580B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bookmarkStart w:id="1" w:name="_l7hin6v8bby6" w:colFirst="0" w:colLast="0"/>
      <w:bookmarkEnd w:id="1"/>
      <w:r>
        <w:t>Evaluation Measure/Evidence: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</w:t>
      </w:r>
      <w:r w:rsidRPr="00944761">
        <w:rPr>
          <w:sz w:val="24"/>
          <w:szCs w:val="24"/>
        </w:rPr>
        <w:t xml:space="preserve">CA 15: DIT has a process for using data for </w:t>
      </w:r>
      <w:proofErr w:type="gramStart"/>
      <w:r w:rsidRPr="00944761">
        <w:rPr>
          <w:sz w:val="24"/>
          <w:szCs w:val="24"/>
        </w:rPr>
        <w:t>decision making</w:t>
      </w:r>
      <w:proofErr w:type="gramEnd"/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 xml:space="preserve">DCA 19: DIT support BITs using data for </w:t>
      </w:r>
      <w:proofErr w:type="gramStart"/>
      <w:r w:rsidRPr="00944761">
        <w:rPr>
          <w:sz w:val="24"/>
          <w:szCs w:val="24"/>
        </w:rPr>
        <w:t>decision making</w:t>
      </w:r>
      <w:proofErr w:type="gramEnd"/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DCA 22: DIT secures training on VTSS for all division/school personnel and stakeholders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DCA 23: DIT uses training effectiveness data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DCA 25: DIT uses coaching effectiveness data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 xml:space="preserve">Buildings are able to </w:t>
      </w:r>
      <w:r w:rsidRPr="00944761">
        <w:rPr>
          <w:sz w:val="24"/>
          <w:szCs w:val="24"/>
        </w:rPr>
        <w:t>score a 2 on TFI: 1.13, 1.14, 2.11</w:t>
      </w:r>
      <w:proofErr w:type="gramStart"/>
      <w:r w:rsidRPr="00944761">
        <w:rPr>
          <w:sz w:val="24"/>
          <w:szCs w:val="24"/>
        </w:rPr>
        <w:t>,2.12</w:t>
      </w:r>
      <w:proofErr w:type="gramEnd"/>
      <w:r w:rsidRPr="00944761">
        <w:rPr>
          <w:sz w:val="24"/>
          <w:szCs w:val="24"/>
        </w:rPr>
        <w:t>, 3.14, 3.15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 xml:space="preserve">Buildings are able </w:t>
      </w:r>
      <w:proofErr w:type="gramStart"/>
      <w:r w:rsidRPr="00944761">
        <w:rPr>
          <w:sz w:val="24"/>
          <w:szCs w:val="24"/>
        </w:rPr>
        <w:t>to fully implement</w:t>
      </w:r>
      <w:proofErr w:type="gramEnd"/>
      <w:r w:rsidRPr="00944761">
        <w:rPr>
          <w:sz w:val="24"/>
          <w:szCs w:val="24"/>
        </w:rPr>
        <w:t xml:space="preserve"> A-TFI 1.13</w:t>
      </w:r>
    </w:p>
    <w:p w:rsidR="0018580B" w:rsidRPr="00944761" w:rsidRDefault="00D12440">
      <w:pPr>
        <w:rPr>
          <w:sz w:val="24"/>
          <w:szCs w:val="24"/>
        </w:rPr>
        <w:sectPr w:rsidR="0018580B" w:rsidRPr="00944761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 w:rsidRPr="00944761">
        <w:rPr>
          <w:sz w:val="24"/>
          <w:szCs w:val="24"/>
        </w:rPr>
        <w:t>Other</w:t>
      </w: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eature 2.B Action Plan"/>
      </w:tblPr>
      <w:tblGrid>
        <w:gridCol w:w="5485"/>
        <w:gridCol w:w="3240"/>
        <w:gridCol w:w="2160"/>
        <w:gridCol w:w="3420"/>
      </w:tblGrid>
      <w:tr w:rsidR="0018580B" w:rsidTr="00944761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rPr>
                <w:sz w:val="20"/>
                <w:szCs w:val="20"/>
              </w:rPr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rPr>
                <w:sz w:val="20"/>
                <w:szCs w:val="20"/>
              </w:rPr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</w:tr>
    </w:tbl>
    <w:p w:rsidR="00944761" w:rsidRDefault="00944761" w:rsidP="00944761">
      <w:pPr>
        <w:pStyle w:val="Heading2"/>
      </w:pPr>
      <w:bookmarkStart w:id="2" w:name="_2njz2gewqkhx" w:colFirst="0" w:colLast="0"/>
      <w:bookmarkEnd w:id="2"/>
    </w:p>
    <w:p w:rsidR="0018580B" w:rsidRDefault="00944761" w:rsidP="00944761">
      <w:pPr>
        <w:pStyle w:val="Heading2"/>
      </w:pPr>
      <w:r>
        <w:br w:type="page"/>
      </w:r>
      <w:r w:rsidR="00D12440">
        <w:lastRenderedPageBreak/>
        <w:t>Feature 2.C Meeting Structures for Data-Informed Decision Making (Organizing the who, what, when, where and how to meet on the various types of data at both the division and building level)</w:t>
      </w:r>
    </w:p>
    <w:p w:rsidR="0018580B" w:rsidRPr="00944761" w:rsidRDefault="00D12440">
      <w:pPr>
        <w:spacing w:after="120"/>
        <w:rPr>
          <w:sz w:val="24"/>
          <w:szCs w:val="24"/>
        </w:rPr>
      </w:pPr>
      <w:r w:rsidRPr="00944761">
        <w:rPr>
          <w:sz w:val="24"/>
          <w:szCs w:val="24"/>
        </w:rPr>
        <w:t>P</w:t>
      </w:r>
      <w:r w:rsidRPr="00944761">
        <w:rPr>
          <w:sz w:val="24"/>
          <w:szCs w:val="24"/>
        </w:rPr>
        <w:t>hase of Implementation (check one)</w:t>
      </w:r>
    </w:p>
    <w:p w:rsidR="0018580B" w:rsidRPr="00944761" w:rsidRDefault="00D124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 xml:space="preserve">Exploration: The DLT explores </w:t>
      </w:r>
      <w:r w:rsidRPr="00944761">
        <w:rPr>
          <w:sz w:val="24"/>
          <w:szCs w:val="24"/>
        </w:rPr>
        <w:t>current and proposed structures for organizing meetings around data-informed decision making to include primary sources of data utilized within the meetings and proposed outcomes of meeting (i.e. examination of core instruction, matching student outcomes t</w:t>
      </w:r>
      <w:r w:rsidRPr="00944761">
        <w:rPr>
          <w:sz w:val="24"/>
          <w:szCs w:val="24"/>
        </w:rPr>
        <w:t>o instruction and/or intervention, etc.).</w:t>
      </w:r>
    </w:p>
    <w:p w:rsidR="0018580B" w:rsidRPr="00944761" w:rsidRDefault="00D124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>Installation: The DLT provides a structure for meetings at both the</w:t>
      </w:r>
      <w:bookmarkStart w:id="3" w:name="_GoBack"/>
      <w:bookmarkEnd w:id="3"/>
      <w:r w:rsidRPr="00944761">
        <w:rPr>
          <w:sz w:val="24"/>
          <w:szCs w:val="24"/>
        </w:rPr>
        <w:t xml:space="preserve"> division and building level inclusive of specific outcomes, accountability, communication, and alignment between meeting structures (i.e. outline </w:t>
      </w:r>
      <w:r w:rsidRPr="00944761">
        <w:rPr>
          <w:sz w:val="24"/>
          <w:szCs w:val="24"/>
        </w:rPr>
        <w:t>of how/when teams refer students for consideration by the advanced tiers teams, etc.).</w:t>
      </w:r>
    </w:p>
    <w:p w:rsidR="0018580B" w:rsidRPr="00944761" w:rsidRDefault="00D124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944761">
        <w:rPr>
          <w:sz w:val="24"/>
          <w:szCs w:val="24"/>
        </w:rPr>
        <w:t>Initial Implementation: The DLT uses and coaches the meeting structures and secures the differentiated plans and schedules for each building.</w:t>
      </w:r>
    </w:p>
    <w:p w:rsidR="0018580B" w:rsidRPr="00944761" w:rsidRDefault="00D12440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944761">
        <w:rPr>
          <w:sz w:val="24"/>
          <w:szCs w:val="24"/>
        </w:rPr>
        <w:t>Full Implementation: The DL</w:t>
      </w:r>
      <w:r w:rsidRPr="00944761">
        <w:rPr>
          <w:sz w:val="24"/>
          <w:szCs w:val="24"/>
        </w:rPr>
        <w:t>T collaborates with the BIT</w:t>
      </w:r>
      <w:r w:rsidR="00800FCF">
        <w:rPr>
          <w:sz w:val="24"/>
          <w:szCs w:val="24"/>
        </w:rPr>
        <w:t xml:space="preserve"> </w:t>
      </w:r>
      <w:r w:rsidRPr="00944761">
        <w:rPr>
          <w:sz w:val="24"/>
          <w:szCs w:val="24"/>
        </w:rPr>
        <w:t>to determine the fidelity and effectiveness of the meeting structures and provides professional learning/coaching as needed.</w:t>
      </w:r>
    </w:p>
    <w:p w:rsidR="0018580B" w:rsidRDefault="00D12440" w:rsidP="00944761">
      <w:pPr>
        <w:pStyle w:val="Heading2"/>
        <w:rPr>
          <w:sz w:val="20"/>
          <w:szCs w:val="20"/>
        </w:rPr>
        <w:sectPr w:rsidR="0018580B">
          <w:type w:val="continuous"/>
          <w:pgSz w:w="15840" w:h="12240"/>
          <w:pgMar w:top="1440" w:right="720" w:bottom="720" w:left="720" w:header="720" w:footer="720" w:gutter="0"/>
          <w:cols w:space="720"/>
        </w:sectPr>
      </w:pPr>
      <w:bookmarkStart w:id="4" w:name="_rz2u8fvctj11" w:colFirst="0" w:colLast="0"/>
      <w:bookmarkEnd w:id="4"/>
      <w:r>
        <w:t>Evaluation Measure/Evidence:</w:t>
      </w: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</w:t>
      </w:r>
      <w:r w:rsidRPr="00944761">
        <w:rPr>
          <w:sz w:val="24"/>
          <w:szCs w:val="24"/>
        </w:rPr>
        <w:t xml:space="preserve">CA 15: DIT has a process for using data for </w:t>
      </w:r>
      <w:proofErr w:type="gramStart"/>
      <w:r w:rsidRPr="00944761">
        <w:rPr>
          <w:sz w:val="24"/>
          <w:szCs w:val="24"/>
        </w:rPr>
        <w:t>decision making</w:t>
      </w:r>
      <w:proofErr w:type="gramEnd"/>
    </w:p>
    <w:p w:rsid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>D</w:t>
      </w:r>
      <w:r w:rsidRPr="00944761">
        <w:rPr>
          <w:sz w:val="24"/>
          <w:szCs w:val="24"/>
        </w:rPr>
        <w:t>CA 25: DIT uses coaching effectiveness data</w:t>
      </w:r>
    </w:p>
    <w:p w:rsidR="00944761" w:rsidRDefault="00944761">
      <w:pPr>
        <w:rPr>
          <w:sz w:val="24"/>
          <w:szCs w:val="24"/>
        </w:rPr>
      </w:pPr>
    </w:p>
    <w:p w:rsidR="0018580B" w:rsidRPr="00944761" w:rsidRDefault="00D12440">
      <w:pPr>
        <w:rPr>
          <w:sz w:val="24"/>
          <w:szCs w:val="24"/>
        </w:rPr>
      </w:pPr>
      <w:r w:rsidRPr="00944761">
        <w:rPr>
          <w:sz w:val="24"/>
          <w:szCs w:val="24"/>
        </w:rPr>
        <w:t xml:space="preserve">Buildings are able to score a </w:t>
      </w:r>
      <w:proofErr w:type="gramStart"/>
      <w:r w:rsidRPr="00944761">
        <w:rPr>
          <w:sz w:val="24"/>
          <w:szCs w:val="24"/>
        </w:rPr>
        <w:t>2</w:t>
      </w:r>
      <w:proofErr w:type="gramEnd"/>
      <w:r w:rsidRPr="00944761">
        <w:rPr>
          <w:sz w:val="24"/>
          <w:szCs w:val="24"/>
        </w:rPr>
        <w:t xml:space="preserve"> on TFI: 1.13, 1.14, 2.10, 2.11, 2.12, 3.14, 3.15, 3.16</w:t>
      </w:r>
    </w:p>
    <w:p w:rsidR="0018580B" w:rsidRDefault="00D12440">
      <w:pPr>
        <w:sectPr w:rsidR="0018580B">
          <w:type w:val="continuous"/>
          <w:pgSz w:w="15840" w:h="12240"/>
          <w:pgMar w:top="144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bookmarkStart w:id="5" w:name="_gjdgxs" w:colFirst="0" w:colLast="0"/>
      <w:bookmarkEnd w:id="5"/>
      <w:r w:rsidRPr="00944761">
        <w:rPr>
          <w:sz w:val="24"/>
          <w:szCs w:val="24"/>
        </w:rPr>
        <w:t>Buildings are able to fully implement A-TFI: 1.5</w:t>
      </w:r>
      <w:proofErr w:type="gramStart"/>
      <w:r w:rsidRPr="00944761">
        <w:rPr>
          <w:sz w:val="24"/>
          <w:szCs w:val="24"/>
        </w:rPr>
        <w:t>,1.6,1.13</w:t>
      </w:r>
      <w:proofErr w:type="gramEnd"/>
      <w:r w:rsidRPr="00944761">
        <w:rPr>
          <w:sz w:val="24"/>
          <w:szCs w:val="24"/>
        </w:rPr>
        <w:t>. 2.11.3.15 Other</w:t>
      </w: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eature 1.B Action Plan"/>
      </w:tblPr>
      <w:tblGrid>
        <w:gridCol w:w="5485"/>
        <w:gridCol w:w="3240"/>
        <w:gridCol w:w="2160"/>
        <w:gridCol w:w="3420"/>
      </w:tblGrid>
      <w:tr w:rsidR="0018580B" w:rsidTr="00944761">
        <w:trPr>
          <w:trHeight w:val="420"/>
          <w:tblHeader/>
        </w:trPr>
        <w:tc>
          <w:tcPr>
            <w:tcW w:w="5485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Action Items (include needed resources)</w:t>
            </w:r>
          </w:p>
        </w:tc>
        <w:tc>
          <w:tcPr>
            <w:tcW w:w="324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Who is responsible?</w:t>
            </w:r>
          </w:p>
        </w:tc>
        <w:tc>
          <w:tcPr>
            <w:tcW w:w="216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3420" w:type="dxa"/>
            <w:shd w:val="clear" w:color="auto" w:fill="C5E0B3"/>
            <w:vAlign w:val="center"/>
          </w:tcPr>
          <w:p w:rsidR="0018580B" w:rsidRDefault="00D12440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rPr>
                <w:sz w:val="20"/>
                <w:szCs w:val="20"/>
              </w:rPr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rPr>
                <w:sz w:val="20"/>
                <w:szCs w:val="20"/>
              </w:rPr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</w:tr>
      <w:tr w:rsidR="0018580B">
        <w:trPr>
          <w:trHeight w:val="720"/>
        </w:trPr>
        <w:tc>
          <w:tcPr>
            <w:tcW w:w="5485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8580B" w:rsidRDefault="0018580B">
            <w:pPr>
              <w:jc w:val="center"/>
            </w:pPr>
          </w:p>
        </w:tc>
      </w:tr>
    </w:tbl>
    <w:p w:rsidR="0018580B" w:rsidRDefault="0018580B" w:rsidP="00944761">
      <w:pPr>
        <w:spacing w:after="160" w:line="259" w:lineRule="auto"/>
        <w:rPr>
          <w:b/>
          <w:sz w:val="22"/>
          <w:szCs w:val="22"/>
        </w:rPr>
      </w:pPr>
    </w:p>
    <w:sectPr w:rsidR="0018580B">
      <w:type w:val="continuous"/>
      <w:pgSz w:w="15840" w:h="122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40" w:rsidRDefault="00D12440">
      <w:pPr>
        <w:spacing w:after="0"/>
      </w:pPr>
      <w:r>
        <w:separator/>
      </w:r>
    </w:p>
  </w:endnote>
  <w:endnote w:type="continuationSeparator" w:id="0">
    <w:p w:rsidR="00D12440" w:rsidRDefault="00D12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40" w:rsidRDefault="00D12440">
      <w:pPr>
        <w:spacing w:after="0"/>
      </w:pPr>
      <w:r>
        <w:separator/>
      </w:r>
    </w:p>
  </w:footnote>
  <w:footnote w:type="continuationSeparator" w:id="0">
    <w:p w:rsidR="00D12440" w:rsidRDefault="00D124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0B" w:rsidRDefault="00D12440">
    <w:pPr>
      <w:pBdr>
        <w:top w:val="nil"/>
        <w:left w:val="nil"/>
        <w:bottom w:val="nil"/>
        <w:right w:val="nil"/>
        <w:between w:val="nil"/>
      </w:pBdr>
      <w:tabs>
        <w:tab w:val="left" w:pos="10530"/>
        <w:tab w:val="left" w:pos="10710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144000" cy="548956"/>
          <wp:effectExtent l="0" t="0" r="0" b="0"/>
          <wp:docPr id="1" name="image1.png" descr="VTSS Division Implementtion Plan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TSS Division Implementtion Plan Template Header"/>
                  <pic:cNvPicPr preferRelativeResize="0"/>
                </pic:nvPicPr>
                <pic:blipFill>
                  <a:blip r:embed="rId1"/>
                  <a:srcRect l="2105" t="18201" r="1620" b="71429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580B" w:rsidRDefault="00185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2BDA"/>
    <w:multiLevelType w:val="multilevel"/>
    <w:tmpl w:val="237C98E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F56898"/>
    <w:multiLevelType w:val="multilevel"/>
    <w:tmpl w:val="ABD245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B"/>
    <w:rsid w:val="0018580B"/>
    <w:rsid w:val="00800FCF"/>
    <w:rsid w:val="00944761"/>
    <w:rsid w:val="00D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1788"/>
  <w15:docId w15:val="{DDDF0943-7DE5-45F9-8297-BAE988B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Title"/>
    <w:next w:val="Normal"/>
    <w:rsid w:val="00944761"/>
    <w:pPr>
      <w:outlineLvl w:val="0"/>
    </w:pPr>
  </w:style>
  <w:style w:type="paragraph" w:styleId="Heading2">
    <w:name w:val="heading 2"/>
    <w:basedOn w:val="Normal"/>
    <w:next w:val="Normal"/>
    <w:rsid w:val="00944761"/>
    <w:pPr>
      <w:widowControl w:val="0"/>
      <w:spacing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VTSS Strand 3 Action Planner 2020</dc:title>
  <cp:lastModifiedBy>Marguerite Miles</cp:lastModifiedBy>
  <cp:revision>3</cp:revision>
  <dcterms:created xsi:type="dcterms:W3CDTF">2020-10-03T18:30:00Z</dcterms:created>
  <dcterms:modified xsi:type="dcterms:W3CDTF">2020-10-03T18:38:00Z</dcterms:modified>
</cp:coreProperties>
</file>