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Action Plan 6: Evaluation of Process: The fidelity of implementation and impact on student outcomes are examined frequently and the results inform actions steps.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Feature 6.A Outcome Evaluation for Problem Solving (Determine the impact of the practices and systems to adjust instruction, professional learning, and coaching)</w:t>
      </w:r>
    </w:p>
    <w:p w:rsidR="00000000" w:rsidDel="00000000" w:rsidP="00000000" w:rsidRDefault="00000000" w:rsidRPr="00000000" w14:paraId="00000003">
      <w:pPr>
        <w:spacing w:after="12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Exploration: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DLT researches and identifies evaluation components for evaluating the effectiveness of VTSS implementation across the division.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Installation: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DLT establishes a plan to monitor short and long-term goals for VTSS.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DLT establishes a data dashboard to uniformly analyze data.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Initial Implementation: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DLT implements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monitoring plan and collection of fidelity and outcome data.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he DL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adheres to the frequency schedule for data monitoring.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Full Implementation: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DLT monitors the plan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and uses the data to impact plans for instruction, coaching, and professional learning within a problem solving model of Data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Decision Making.</w:t>
      </w:r>
    </w:p>
    <w:p w:rsidR="00000000" w:rsidDel="00000000" w:rsidP="00000000" w:rsidRDefault="00000000" w:rsidRPr="00000000" w14:paraId="00000008">
      <w:pPr>
        <w:pStyle w:val="Heading1"/>
        <w:rPr>
          <w:rFonts w:ascii="Times New Roman" w:cs="Times New Roman" w:eastAsia="Times New Roman" w:hAnsi="Times New Roman"/>
          <w:sz w:val="20"/>
          <w:szCs w:val="20"/>
        </w:rPr>
        <w:sectPr>
          <w:headerReference r:id="rId6" w:type="default"/>
          <w:pgSz w:h="12240" w:w="15840"/>
          <w:pgMar w:bottom="720" w:top="720" w:left="720" w:right="720" w:header="288" w:footer="720"/>
          <w:pgNumType w:start="1"/>
        </w:sectPr>
      </w:pPr>
      <w:r w:rsidDel="00000000" w:rsidR="00000000" w:rsidRPr="00000000">
        <w:rPr>
          <w:rtl w:val="0"/>
        </w:rPr>
        <w:t xml:space="preserve">Evaluation Measure/</w:t>
      </w:r>
      <w:r w:rsidDel="00000000" w:rsidR="00000000" w:rsidRPr="00000000">
        <w:rPr>
          <w:rtl w:val="0"/>
        </w:rPr>
        <w:t xml:space="preserve">Evidence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8: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has an implementation plan for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VTSS.</w:t>
      </w:r>
    </w:p>
    <w:p w:rsidR="00000000" w:rsidDel="00000000" w:rsidP="00000000" w:rsidRDefault="00000000" w:rsidRPr="00000000" w14:paraId="0000000A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11: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Division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uses a process for addressing internal barriers.</w:t>
      </w:r>
    </w:p>
    <w:p w:rsidR="00000000" w:rsidDel="00000000" w:rsidP="00000000" w:rsidRDefault="00000000" w:rsidRPr="00000000" w14:paraId="0000000B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14: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has access to data for VTSS.</w:t>
      </w:r>
    </w:p>
    <w:p w:rsidR="00000000" w:rsidDel="00000000" w:rsidP="00000000" w:rsidRDefault="00000000" w:rsidRPr="00000000" w14:paraId="0000000C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21: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Division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has a plan to continuously strengthen staff skills</w:t>
      </w:r>
    </w:p>
    <w:p w:rsidR="00000000" w:rsidDel="00000000" w:rsidP="00000000" w:rsidRDefault="00000000" w:rsidRPr="00000000" w14:paraId="0000000D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23: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uses training effectiveness data</w:t>
      </w:r>
    </w:p>
    <w:p w:rsidR="00000000" w:rsidDel="00000000" w:rsidP="00000000" w:rsidRDefault="00000000" w:rsidRPr="00000000" w14:paraId="0000000E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25: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uses coaching effectiveness data</w:t>
      </w:r>
    </w:p>
    <w:p w:rsidR="00000000" w:rsidDel="00000000" w:rsidP="00000000" w:rsidRDefault="00000000" w:rsidRPr="00000000" w14:paraId="0000000F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score a 2 on TFI: 1.15, 2.13, 3.17</w:t>
      </w:r>
    </w:p>
    <w:p w:rsidR="00000000" w:rsidDel="00000000" w:rsidP="00000000" w:rsidRDefault="00000000" w:rsidRPr="00000000" w14:paraId="00000010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fully implement A-TFI : 1.13, 1.15A, 1.15B</w:t>
      </w:r>
    </w:p>
    <w:p w:rsidR="00000000" w:rsidDel="00000000" w:rsidP="00000000" w:rsidRDefault="00000000" w:rsidRPr="00000000" w14:paraId="00000011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2240" w:w="15840"/>
          <w:pgMar w:bottom="720" w:top="720" w:left="720" w:right="720" w:header="288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Other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trHeight w:val="420" w:hRule="atLeast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Notes/Comments</w:t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Feature 6.B Fidelity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(Evaluating the fidelity of implementation, instruction, and assessment)</w:t>
      </w:r>
    </w:p>
    <w:p w:rsidR="00000000" w:rsidDel="00000000" w:rsidP="00000000" w:rsidRDefault="00000000" w:rsidRPr="00000000" w14:paraId="00000030">
      <w:pPr>
        <w:spacing w:after="12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xploration: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DLT researches and adopts procedures to monitor the fidelity of implementation of VTSS and the practices and assessments within the framework.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Installation: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DLT communicates procedures to monitor the fidelity of implementation of VTSS and the practices and assessments within the framework.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Initial Implementation: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DLT supports staff to utilize procedures to monitor the fidelity of implementation of VTSS and the practices and assessments within the framework.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Full Implementation: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The DLT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evaluates and monitors fidelity measures as defined and make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changes based on a review of data.</w:t>
      </w:r>
    </w:p>
    <w:p w:rsidR="00000000" w:rsidDel="00000000" w:rsidP="00000000" w:rsidRDefault="00000000" w:rsidRPr="00000000" w14:paraId="00000035">
      <w:pPr>
        <w:pStyle w:val="Heading1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2240" w:w="15840"/>
          <w:pgMar w:bottom="720" w:top="720" w:left="720" w:right="720" w:header="288" w:footer="720"/>
        </w:sectPr>
      </w:pPr>
      <w:r w:rsidDel="00000000" w:rsidR="00000000" w:rsidRPr="00000000">
        <w:rPr>
          <w:rtl w:val="0"/>
        </w:rPr>
        <w:t xml:space="preserve">Evaluation Measure/Evidence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10: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Division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uses a communication plan.</w:t>
      </w:r>
    </w:p>
    <w:p w:rsidR="00000000" w:rsidDel="00000000" w:rsidP="00000000" w:rsidRDefault="00000000" w:rsidRPr="00000000" w14:paraId="00000037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13: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supports the use of a fidelity measure for implementation of VTSS.</w:t>
      </w:r>
    </w:p>
    <w:p w:rsidR="00000000" w:rsidDel="00000000" w:rsidP="00000000" w:rsidRDefault="00000000" w:rsidRPr="00000000" w14:paraId="00000038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15: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has a process for using data for decision-making.</w:t>
      </w:r>
    </w:p>
    <w:p w:rsidR="00000000" w:rsidDel="00000000" w:rsidP="00000000" w:rsidRDefault="00000000" w:rsidRPr="00000000" w14:paraId="00000039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21: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Division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has a plan to continuously strengthen staff skills.</w:t>
      </w:r>
    </w:p>
    <w:p w:rsidR="00000000" w:rsidDel="00000000" w:rsidP="00000000" w:rsidRDefault="00000000" w:rsidRPr="00000000" w14:paraId="0000003A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DCA 22: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secures training on VTSS for all district/school personnel and stakeholders.</w:t>
      </w:r>
    </w:p>
    <w:p w:rsidR="00000000" w:rsidDel="00000000" w:rsidP="00000000" w:rsidRDefault="00000000" w:rsidRPr="00000000" w14:paraId="0000003B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score a 2 on TFI: 1.14, 1.15, 2.12, 2.13, 3.17</w:t>
      </w:r>
    </w:p>
    <w:p w:rsidR="00000000" w:rsidDel="00000000" w:rsidP="00000000" w:rsidRDefault="00000000" w:rsidRPr="00000000" w14:paraId="0000003C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Buildings are able to fully implement A-TFI 1.14</w:t>
      </w:r>
    </w:p>
    <w:p w:rsidR="00000000" w:rsidDel="00000000" w:rsidP="00000000" w:rsidRDefault="00000000" w:rsidRPr="00000000" w14:paraId="0000003D">
      <w:pPr>
        <w:spacing w:after="80" w:line="240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2240" w:w="15840"/>
          <w:pgMar w:bottom="720" w:top="720" w:left="720" w:right="720" w:header="288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trHeight w:val="420" w:hRule="atLeast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Notes/Comments</w:t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720" w:top="720" w:left="720" w:right="720" w:header="288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530"/>
        <w:tab w:val="left" w:pos="1071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144000" cy="548956"/>
          <wp:effectExtent b="0" l="0" r="0" t="0"/>
          <wp:docPr descr="VTSS Division Implementtion Plan Template Header" id="1" name="image1.png"/>
          <a:graphic>
            <a:graphicData uri="http://schemas.openxmlformats.org/drawingml/2006/picture">
              <pic:pic>
                <pic:nvPicPr>
                  <pic:cNvPr descr="VTSS Division Implementtion Plan Template Header" id="0" name="image1.png"/>
                  <pic:cNvPicPr preferRelativeResize="0"/>
                </pic:nvPicPr>
                <pic:blipFill>
                  <a:blip r:embed="rId1"/>
                  <a:srcRect b="71429" l="2105" r="1620" t="18201"/>
                  <a:stretch>
                    <a:fillRect/>
                  </a:stretch>
                </pic:blipFill>
                <pic:spPr>
                  <a:xfrm>
                    <a:off x="0" y="0"/>
                    <a:ext cx="9144000" cy="5489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