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13" w:rsidRDefault="00B26D13">
      <w:r>
        <w:rPr>
          <w:noProof/>
        </w:rPr>
        <w:drawing>
          <wp:inline distT="0" distB="0" distL="0" distR="0" wp14:anchorId="1105D6AB" wp14:editId="280906E2">
            <wp:extent cx="8228965" cy="4114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915" cy="41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D13" w:rsidRDefault="00B26D13">
      <w:r>
        <w:t>Items to consider:</w:t>
      </w:r>
    </w:p>
    <w:p w:rsidR="00B26D13" w:rsidRDefault="00B26D13">
      <w:r>
        <w:t>1.  Are there assessment currently in place in which the data are not currently informing instruction but could be?</w:t>
      </w:r>
    </w:p>
    <w:p w:rsidR="00B26D13" w:rsidRDefault="00B26D13">
      <w:r>
        <w:t>2.  Are we considering multiple ways to assess student mastery of content and science and engineering practices (addressing breadth and depth of student understanding)?</w:t>
      </w:r>
    </w:p>
    <w:p w:rsidR="00B26D13" w:rsidRDefault="00B26D13">
      <w:r>
        <w:t>3.  Are performance tasks (formative) and performance assessments (summative) in the plan?</w:t>
      </w:r>
    </w:p>
    <w:p w:rsidR="00B26D13" w:rsidRDefault="00B26D13">
      <w:r>
        <w:t>4.  Are current assessments in place that are assessing content and guiding instruction; however, another type of assessment would be more appropriate?</w:t>
      </w:r>
    </w:p>
    <w:sectPr w:rsidR="00B26D13" w:rsidSect="00B2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3"/>
    <w:rsid w:val="00137944"/>
    <w:rsid w:val="002438F7"/>
    <w:rsid w:val="0032339F"/>
    <w:rsid w:val="00B26D13"/>
    <w:rsid w:val="00B83904"/>
    <w:rsid w:val="00B845C5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Anne (DOE)</dc:creator>
  <cp:lastModifiedBy>fji86289</cp:lastModifiedBy>
  <cp:revision>2</cp:revision>
  <dcterms:created xsi:type="dcterms:W3CDTF">2019-05-23T19:15:00Z</dcterms:created>
  <dcterms:modified xsi:type="dcterms:W3CDTF">2019-05-23T19:15:00Z</dcterms:modified>
</cp:coreProperties>
</file>