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BDA56" w14:textId="77777777" w:rsidR="0091014F" w:rsidRDefault="002E0B45" w:rsidP="002E0B45">
      <w:pPr>
        <w:pStyle w:val="Heading1"/>
      </w:pPr>
      <w:bookmarkStart w:id="0" w:name="_heading=h.gjdgxs" w:colFirst="0" w:colLast="0"/>
      <w:bookmarkStart w:id="1" w:name="_GoBack"/>
      <w:bookmarkEnd w:id="0"/>
      <w:bookmarkEnd w:id="1"/>
      <w:r>
        <w:t>High Leverage Practices for General Educators</w:t>
      </w:r>
    </w:p>
    <w:p w14:paraId="63F3C3EC" w14:textId="77777777" w:rsidR="0091014F" w:rsidRDefault="006F69F0">
      <w:pPr>
        <w:jc w:val="center"/>
        <w:rPr>
          <w:rFonts w:ascii="Garamond" w:eastAsia="Garamond" w:hAnsi="Garamond" w:cs="Garamond"/>
          <w:b/>
        </w:rPr>
      </w:pPr>
      <w:hyperlink r:id="rId6">
        <w:r w:rsidR="002E0B45">
          <w:rPr>
            <w:rFonts w:ascii="Garamond" w:eastAsia="Garamond" w:hAnsi="Garamond" w:cs="Garamond"/>
            <w:b/>
            <w:color w:val="0000FF"/>
            <w:u w:val="single"/>
          </w:rPr>
          <w:t>www.teachingworks.org/work-of-teaching/high-leverage-practices</w:t>
        </w:r>
      </w:hyperlink>
    </w:p>
    <w:p w14:paraId="19B014CC" w14:textId="77777777" w:rsidR="0091014F" w:rsidRDefault="0091014F">
      <w:pPr>
        <w:jc w:val="center"/>
        <w:rPr>
          <w:rFonts w:ascii="Garamond" w:eastAsia="Garamond" w:hAnsi="Garamond" w:cs="Garamond"/>
          <w:b/>
        </w:rPr>
      </w:pPr>
    </w:p>
    <w:tbl>
      <w:tblPr>
        <w:tblStyle w:val="a"/>
        <w:tblW w:w="1021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6000"/>
        <w:gridCol w:w="4215"/>
      </w:tblGrid>
      <w:tr w:rsidR="0091014F" w14:paraId="5AE75D4D" w14:textId="77777777" w:rsidTr="002E0B45">
        <w:tc>
          <w:tcPr>
            <w:tcW w:w="6000" w:type="dxa"/>
          </w:tcPr>
          <w:p w14:paraId="131A8458" w14:textId="77777777" w:rsidR="0091014F" w:rsidRDefault="002E0B45">
            <w:pPr>
              <w:jc w:val="center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Practice</w:t>
            </w:r>
          </w:p>
        </w:tc>
        <w:tc>
          <w:tcPr>
            <w:tcW w:w="4215" w:type="dxa"/>
          </w:tcPr>
          <w:p w14:paraId="7B53DA37" w14:textId="77777777" w:rsidR="0091014F" w:rsidRDefault="002E0B45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In our Classrooms</w:t>
            </w:r>
          </w:p>
        </w:tc>
      </w:tr>
      <w:tr w:rsidR="0091014F" w14:paraId="463B9B76" w14:textId="77777777" w:rsidTr="002E0B45">
        <w:tc>
          <w:tcPr>
            <w:tcW w:w="6000" w:type="dxa"/>
          </w:tcPr>
          <w:p w14:paraId="78F32D68" w14:textId="77777777" w:rsidR="0091014F" w:rsidRDefault="002E0B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Leading a group discussion</w:t>
            </w:r>
          </w:p>
        </w:tc>
        <w:tc>
          <w:tcPr>
            <w:tcW w:w="4215" w:type="dxa"/>
            <w:vMerge w:val="restart"/>
          </w:tcPr>
          <w:p w14:paraId="2421F834" w14:textId="77777777" w:rsidR="0091014F" w:rsidRDefault="0091014F">
            <w:pPr>
              <w:ind w:left="34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7A8FE94C" w14:textId="77777777" w:rsidTr="002E0B45">
        <w:tc>
          <w:tcPr>
            <w:tcW w:w="6000" w:type="dxa"/>
          </w:tcPr>
          <w:p w14:paraId="77C7DD06" w14:textId="77777777" w:rsidR="0091014F" w:rsidRDefault="002E0B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Explaining and modeling content, practices, and strategies</w:t>
            </w:r>
          </w:p>
        </w:tc>
        <w:tc>
          <w:tcPr>
            <w:tcW w:w="4215" w:type="dxa"/>
            <w:vMerge/>
          </w:tcPr>
          <w:p w14:paraId="4977233E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2D767235" w14:textId="77777777" w:rsidTr="002E0B45">
        <w:tc>
          <w:tcPr>
            <w:tcW w:w="6000" w:type="dxa"/>
          </w:tcPr>
          <w:p w14:paraId="7DF5F866" w14:textId="77777777" w:rsidR="0091014F" w:rsidRDefault="002E0B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Eliciting and interpreting individual students’ thinking</w:t>
            </w:r>
          </w:p>
        </w:tc>
        <w:tc>
          <w:tcPr>
            <w:tcW w:w="4215" w:type="dxa"/>
            <w:vMerge/>
          </w:tcPr>
          <w:p w14:paraId="6047618E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09CBF143" w14:textId="77777777" w:rsidTr="002E0B45">
        <w:tc>
          <w:tcPr>
            <w:tcW w:w="6000" w:type="dxa"/>
          </w:tcPr>
          <w:p w14:paraId="34082B21" w14:textId="77777777" w:rsidR="0091014F" w:rsidRDefault="002E0B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Diagnosing particular common patterns of student thinking and development in a subject-matter domain</w:t>
            </w:r>
          </w:p>
        </w:tc>
        <w:tc>
          <w:tcPr>
            <w:tcW w:w="4215" w:type="dxa"/>
            <w:vMerge/>
          </w:tcPr>
          <w:p w14:paraId="386B5C97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2121F9D2" w14:textId="77777777" w:rsidTr="002E0B45">
        <w:tc>
          <w:tcPr>
            <w:tcW w:w="6000" w:type="dxa"/>
          </w:tcPr>
          <w:p w14:paraId="6FF35A19" w14:textId="77777777" w:rsidR="0091014F" w:rsidRDefault="002E0B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Implementing norms and routines for classroom discourse</w:t>
            </w:r>
          </w:p>
        </w:tc>
        <w:tc>
          <w:tcPr>
            <w:tcW w:w="4215" w:type="dxa"/>
            <w:vMerge/>
          </w:tcPr>
          <w:p w14:paraId="65D46B37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4FADA5D0" w14:textId="77777777" w:rsidTr="002E0B45">
        <w:tc>
          <w:tcPr>
            <w:tcW w:w="6000" w:type="dxa"/>
          </w:tcPr>
          <w:p w14:paraId="2F79A2CA" w14:textId="77777777" w:rsidR="0091014F" w:rsidRDefault="002E0B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Coordinating and adjusting instruction during a lesson</w:t>
            </w:r>
          </w:p>
        </w:tc>
        <w:tc>
          <w:tcPr>
            <w:tcW w:w="4215" w:type="dxa"/>
            <w:vMerge/>
          </w:tcPr>
          <w:p w14:paraId="6866ED62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4F06C8EE" w14:textId="77777777" w:rsidTr="002E0B45">
        <w:tc>
          <w:tcPr>
            <w:tcW w:w="6000" w:type="dxa"/>
          </w:tcPr>
          <w:p w14:paraId="53BEF4E7" w14:textId="77777777" w:rsidR="0091014F" w:rsidRDefault="002E0B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Specifying and reinforcing productive student behavior</w:t>
            </w:r>
          </w:p>
        </w:tc>
        <w:tc>
          <w:tcPr>
            <w:tcW w:w="4215" w:type="dxa"/>
            <w:vMerge/>
          </w:tcPr>
          <w:p w14:paraId="5FC621AD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1B1E7C3C" w14:textId="77777777" w:rsidTr="002E0B45">
        <w:tc>
          <w:tcPr>
            <w:tcW w:w="6000" w:type="dxa"/>
          </w:tcPr>
          <w:p w14:paraId="52573F8E" w14:textId="77777777" w:rsidR="0091014F" w:rsidRDefault="002E0B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Implementing organizational routines</w:t>
            </w:r>
          </w:p>
        </w:tc>
        <w:tc>
          <w:tcPr>
            <w:tcW w:w="4215" w:type="dxa"/>
            <w:vMerge/>
          </w:tcPr>
          <w:p w14:paraId="782E1668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5124832D" w14:textId="77777777" w:rsidTr="002E0B45">
        <w:tc>
          <w:tcPr>
            <w:tcW w:w="6000" w:type="dxa"/>
          </w:tcPr>
          <w:p w14:paraId="7B90C55D" w14:textId="77777777" w:rsidR="0091014F" w:rsidRDefault="002E0B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Setting up and managing small group work</w:t>
            </w:r>
          </w:p>
        </w:tc>
        <w:tc>
          <w:tcPr>
            <w:tcW w:w="4215" w:type="dxa"/>
            <w:vMerge/>
          </w:tcPr>
          <w:p w14:paraId="7BF06A22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78F1DB00" w14:textId="77777777" w:rsidTr="002E0B45">
        <w:tc>
          <w:tcPr>
            <w:tcW w:w="6000" w:type="dxa"/>
          </w:tcPr>
          <w:p w14:paraId="00C933B0" w14:textId="77777777" w:rsidR="0091014F" w:rsidRDefault="002E0B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2" w:hanging="45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Building respectful relationships with students</w:t>
            </w:r>
          </w:p>
        </w:tc>
        <w:tc>
          <w:tcPr>
            <w:tcW w:w="4215" w:type="dxa"/>
            <w:vMerge/>
          </w:tcPr>
          <w:p w14:paraId="41D08E5A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78F3BC0B" w14:textId="77777777" w:rsidTr="002E0B45">
        <w:tc>
          <w:tcPr>
            <w:tcW w:w="6000" w:type="dxa"/>
          </w:tcPr>
          <w:p w14:paraId="716B7F2A" w14:textId="77777777" w:rsidR="0091014F" w:rsidRDefault="002E0B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2" w:hanging="45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Talking about a student with parents or other caregivers</w:t>
            </w:r>
          </w:p>
        </w:tc>
        <w:tc>
          <w:tcPr>
            <w:tcW w:w="4215" w:type="dxa"/>
            <w:vMerge/>
          </w:tcPr>
          <w:p w14:paraId="43FA6B50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68E2F1BD" w14:textId="77777777" w:rsidTr="002E0B45">
        <w:tc>
          <w:tcPr>
            <w:tcW w:w="6000" w:type="dxa"/>
          </w:tcPr>
          <w:p w14:paraId="3981E5FC" w14:textId="77777777" w:rsidR="0091014F" w:rsidRDefault="002E0B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45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Learning about students’ cultural, religious, family, intellectual, and personal experiences and resources for use in instruction</w:t>
            </w:r>
          </w:p>
        </w:tc>
        <w:tc>
          <w:tcPr>
            <w:tcW w:w="4215" w:type="dxa"/>
            <w:vMerge/>
          </w:tcPr>
          <w:p w14:paraId="4760D547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01140879" w14:textId="77777777" w:rsidTr="002E0B45">
        <w:tc>
          <w:tcPr>
            <w:tcW w:w="6000" w:type="dxa"/>
          </w:tcPr>
          <w:p w14:paraId="6560BD8B" w14:textId="77777777" w:rsidR="0091014F" w:rsidRDefault="002E0B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2" w:hanging="45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Setting long- and short-term learning goals for students</w:t>
            </w:r>
          </w:p>
        </w:tc>
        <w:tc>
          <w:tcPr>
            <w:tcW w:w="4215" w:type="dxa"/>
            <w:vMerge/>
          </w:tcPr>
          <w:p w14:paraId="4B546E30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1AB3D912" w14:textId="77777777" w:rsidTr="002E0B45">
        <w:tc>
          <w:tcPr>
            <w:tcW w:w="6000" w:type="dxa"/>
          </w:tcPr>
          <w:p w14:paraId="7895C60C" w14:textId="77777777" w:rsidR="0091014F" w:rsidRDefault="002E0B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2" w:hanging="45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Designing single lessons and sequences of lessons</w:t>
            </w:r>
          </w:p>
        </w:tc>
        <w:tc>
          <w:tcPr>
            <w:tcW w:w="4215" w:type="dxa"/>
            <w:vMerge/>
          </w:tcPr>
          <w:p w14:paraId="24DBAE20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6CB0766F" w14:textId="77777777" w:rsidTr="002E0B45">
        <w:tc>
          <w:tcPr>
            <w:tcW w:w="6000" w:type="dxa"/>
          </w:tcPr>
          <w:p w14:paraId="009B3A0C" w14:textId="77777777" w:rsidR="0091014F" w:rsidRDefault="002E0B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45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Checking student understanding during and at the conclusion of lessons</w:t>
            </w:r>
          </w:p>
        </w:tc>
        <w:tc>
          <w:tcPr>
            <w:tcW w:w="4215" w:type="dxa"/>
            <w:vMerge/>
          </w:tcPr>
          <w:p w14:paraId="5E0E7BCE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48046B32" w14:textId="77777777" w:rsidTr="002E0B45">
        <w:tc>
          <w:tcPr>
            <w:tcW w:w="6000" w:type="dxa"/>
          </w:tcPr>
          <w:p w14:paraId="48BC7B82" w14:textId="77777777" w:rsidR="0091014F" w:rsidRDefault="002E0B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45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Selecting and designing formal assessments of student learning</w:t>
            </w:r>
          </w:p>
        </w:tc>
        <w:tc>
          <w:tcPr>
            <w:tcW w:w="4215" w:type="dxa"/>
            <w:vMerge/>
          </w:tcPr>
          <w:p w14:paraId="01DAF562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55B30BA0" w14:textId="77777777" w:rsidTr="002E0B45">
        <w:tc>
          <w:tcPr>
            <w:tcW w:w="6000" w:type="dxa"/>
          </w:tcPr>
          <w:p w14:paraId="6C9138A7" w14:textId="77777777" w:rsidR="0091014F" w:rsidRDefault="002E0B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45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Interpreting the results of student work, including routine assignments, quizzes, tests, projects, and standardized assessments</w:t>
            </w:r>
          </w:p>
        </w:tc>
        <w:tc>
          <w:tcPr>
            <w:tcW w:w="4215" w:type="dxa"/>
            <w:vMerge/>
          </w:tcPr>
          <w:p w14:paraId="1A374732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56D6F35B" w14:textId="77777777" w:rsidTr="002E0B45">
        <w:tc>
          <w:tcPr>
            <w:tcW w:w="6000" w:type="dxa"/>
          </w:tcPr>
          <w:p w14:paraId="50D1D762" w14:textId="77777777" w:rsidR="0091014F" w:rsidRDefault="002E0B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Providing oral and written feedback to students</w:t>
            </w:r>
          </w:p>
        </w:tc>
        <w:tc>
          <w:tcPr>
            <w:tcW w:w="4215" w:type="dxa"/>
            <w:vMerge/>
          </w:tcPr>
          <w:p w14:paraId="1D40B7C6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10FD1328" w14:textId="77777777" w:rsidTr="002E0B45">
        <w:tc>
          <w:tcPr>
            <w:tcW w:w="6000" w:type="dxa"/>
          </w:tcPr>
          <w:p w14:paraId="0F42CE64" w14:textId="77777777" w:rsidR="0091014F" w:rsidRDefault="002E0B4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Analyzing instruction for the purpose of improving it</w:t>
            </w:r>
          </w:p>
        </w:tc>
        <w:tc>
          <w:tcPr>
            <w:tcW w:w="4215" w:type="dxa"/>
            <w:vMerge/>
          </w:tcPr>
          <w:p w14:paraId="10F48E20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</w:tbl>
    <w:p w14:paraId="57D49B7A" w14:textId="77777777" w:rsidR="0091014F" w:rsidRDefault="0091014F">
      <w:pPr>
        <w:rPr>
          <w:rFonts w:ascii="Garamond" w:eastAsia="Garamond" w:hAnsi="Garamond" w:cs="Garamond"/>
          <w:b/>
          <w:color w:val="000000"/>
        </w:rPr>
      </w:pPr>
    </w:p>
    <w:p w14:paraId="125D8F22" w14:textId="77777777" w:rsidR="0091014F" w:rsidRDefault="002E0B45">
      <w:pPr>
        <w:rPr>
          <w:rFonts w:ascii="Garamond" w:eastAsia="Garamond" w:hAnsi="Garamond" w:cs="Garamond"/>
          <w:b/>
          <w:color w:val="000000"/>
        </w:rPr>
      </w:pPr>
      <w:r>
        <w:br w:type="page"/>
      </w:r>
    </w:p>
    <w:p w14:paraId="2A48CFD6" w14:textId="77777777" w:rsidR="0091014F" w:rsidRDefault="002E0B45" w:rsidP="002E0B45">
      <w:pPr>
        <w:pStyle w:val="Heading1"/>
      </w:pPr>
      <w:r>
        <w:lastRenderedPageBreak/>
        <w:t xml:space="preserve">High </w:t>
      </w:r>
      <w:r w:rsidRPr="002E0B45">
        <w:t>Leverage</w:t>
      </w:r>
      <w:r>
        <w:t xml:space="preserve"> Practices in Special Education</w:t>
      </w:r>
    </w:p>
    <w:p w14:paraId="465A1F55" w14:textId="77777777" w:rsidR="0091014F" w:rsidRDefault="006F69F0">
      <w:pPr>
        <w:ind w:left="342"/>
        <w:jc w:val="center"/>
        <w:rPr>
          <w:rFonts w:ascii="Garamond" w:eastAsia="Garamond" w:hAnsi="Garamond" w:cs="Garamond"/>
          <w:b/>
          <w:color w:val="000000"/>
        </w:rPr>
      </w:pPr>
      <w:hyperlink r:id="rId7">
        <w:r w:rsidR="002E0B45">
          <w:rPr>
            <w:rFonts w:ascii="Garamond" w:eastAsia="Garamond" w:hAnsi="Garamond" w:cs="Garamond"/>
            <w:b/>
            <w:color w:val="0000FF"/>
            <w:u w:val="single"/>
          </w:rPr>
          <w:t>www.highleveragepractices.org</w:t>
        </w:r>
      </w:hyperlink>
      <w:r w:rsidR="002E0B45">
        <w:rPr>
          <w:rFonts w:ascii="Garamond" w:eastAsia="Garamond" w:hAnsi="Garamond" w:cs="Garamond"/>
          <w:b/>
          <w:color w:val="000000"/>
        </w:rPr>
        <w:t xml:space="preserve"> </w:t>
      </w:r>
    </w:p>
    <w:p w14:paraId="0A70CA83" w14:textId="77777777" w:rsidR="0091014F" w:rsidRDefault="0091014F">
      <w:pPr>
        <w:ind w:left="342"/>
        <w:jc w:val="center"/>
        <w:rPr>
          <w:rFonts w:ascii="Garamond" w:eastAsia="Garamond" w:hAnsi="Garamond" w:cs="Garamond"/>
          <w:b/>
        </w:rPr>
      </w:pPr>
    </w:p>
    <w:tbl>
      <w:tblPr>
        <w:tblStyle w:val="a0"/>
        <w:tblW w:w="1030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925"/>
        <w:gridCol w:w="4380"/>
      </w:tblGrid>
      <w:tr w:rsidR="0091014F" w14:paraId="299DA309" w14:textId="77777777" w:rsidTr="002E0B45">
        <w:tc>
          <w:tcPr>
            <w:tcW w:w="5925" w:type="dxa"/>
          </w:tcPr>
          <w:p w14:paraId="2415B3C5" w14:textId="77777777" w:rsidR="0091014F" w:rsidRDefault="002E0B45">
            <w:pPr>
              <w:ind w:left="342"/>
              <w:jc w:val="center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Practice</w:t>
            </w:r>
          </w:p>
        </w:tc>
        <w:tc>
          <w:tcPr>
            <w:tcW w:w="4380" w:type="dxa"/>
          </w:tcPr>
          <w:p w14:paraId="6F9E5E89" w14:textId="77777777" w:rsidR="0091014F" w:rsidRDefault="002E0B45">
            <w:pPr>
              <w:ind w:left="342"/>
              <w:jc w:val="center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In our Classrooms</w:t>
            </w:r>
          </w:p>
        </w:tc>
      </w:tr>
      <w:tr w:rsidR="0091014F" w14:paraId="7327D5BF" w14:textId="77777777" w:rsidTr="002E0B45">
        <w:tc>
          <w:tcPr>
            <w:tcW w:w="5925" w:type="dxa"/>
          </w:tcPr>
          <w:p w14:paraId="1F844E16" w14:textId="77777777" w:rsidR="0091014F" w:rsidRDefault="002E0B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Collaborate with professionals to increase student success.</w:t>
            </w:r>
          </w:p>
        </w:tc>
        <w:tc>
          <w:tcPr>
            <w:tcW w:w="4380" w:type="dxa"/>
            <w:vMerge w:val="restart"/>
          </w:tcPr>
          <w:p w14:paraId="31B47636" w14:textId="77777777" w:rsidR="0091014F" w:rsidRDefault="0091014F">
            <w:pPr>
              <w:ind w:left="342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3E86C1A9" w14:textId="77777777" w:rsidTr="002E0B45">
        <w:tc>
          <w:tcPr>
            <w:tcW w:w="5925" w:type="dxa"/>
          </w:tcPr>
          <w:p w14:paraId="5A400250" w14:textId="77777777" w:rsidR="0091014F" w:rsidRDefault="002E0B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Organize and facilitate effective meetings with professionals and families.</w:t>
            </w:r>
          </w:p>
        </w:tc>
        <w:tc>
          <w:tcPr>
            <w:tcW w:w="4380" w:type="dxa"/>
            <w:vMerge/>
          </w:tcPr>
          <w:p w14:paraId="64A58FB3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371F1662" w14:textId="77777777" w:rsidTr="002E0B45">
        <w:tc>
          <w:tcPr>
            <w:tcW w:w="5925" w:type="dxa"/>
          </w:tcPr>
          <w:p w14:paraId="52C03EFE" w14:textId="77777777" w:rsidR="0091014F" w:rsidRDefault="002E0B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Collaborate with families to support student learning and secure needed services.</w:t>
            </w:r>
          </w:p>
        </w:tc>
        <w:tc>
          <w:tcPr>
            <w:tcW w:w="4380" w:type="dxa"/>
            <w:vMerge/>
          </w:tcPr>
          <w:p w14:paraId="343D84DE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74C18A95" w14:textId="77777777" w:rsidTr="002E0B45">
        <w:tc>
          <w:tcPr>
            <w:tcW w:w="5925" w:type="dxa"/>
          </w:tcPr>
          <w:p w14:paraId="3EAA905C" w14:textId="77777777" w:rsidR="0091014F" w:rsidRDefault="002E0B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Use multiple sources of information to develop a comprehensive understanding of a student’s strengths and needs.</w:t>
            </w:r>
          </w:p>
        </w:tc>
        <w:tc>
          <w:tcPr>
            <w:tcW w:w="4380" w:type="dxa"/>
            <w:vMerge/>
          </w:tcPr>
          <w:p w14:paraId="3070DC56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040C4E5C" w14:textId="77777777" w:rsidTr="002E0B45">
        <w:tc>
          <w:tcPr>
            <w:tcW w:w="5925" w:type="dxa"/>
          </w:tcPr>
          <w:p w14:paraId="3FEE70F0" w14:textId="77777777" w:rsidR="0091014F" w:rsidRDefault="002E0B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Interpret and communicate assessment information with stakeholders to collaboratively design and implement educational programs.</w:t>
            </w:r>
          </w:p>
        </w:tc>
        <w:tc>
          <w:tcPr>
            <w:tcW w:w="4380" w:type="dxa"/>
            <w:vMerge/>
          </w:tcPr>
          <w:p w14:paraId="396F75F0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58A9F3CD" w14:textId="77777777" w:rsidTr="002E0B45">
        <w:tc>
          <w:tcPr>
            <w:tcW w:w="5925" w:type="dxa"/>
          </w:tcPr>
          <w:p w14:paraId="6726CE8D" w14:textId="77777777" w:rsidR="0091014F" w:rsidRDefault="002E0B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Use student assessment, analyze instructional practices, and make necessary adjustments that improve student outcomes.</w:t>
            </w:r>
          </w:p>
        </w:tc>
        <w:tc>
          <w:tcPr>
            <w:tcW w:w="4380" w:type="dxa"/>
            <w:vMerge/>
          </w:tcPr>
          <w:p w14:paraId="56CEDABA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3656F35D" w14:textId="77777777" w:rsidTr="002E0B45">
        <w:tc>
          <w:tcPr>
            <w:tcW w:w="5925" w:type="dxa"/>
          </w:tcPr>
          <w:p w14:paraId="0AFADE56" w14:textId="77777777" w:rsidR="0091014F" w:rsidRDefault="002E0B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Establish a consistent, organized, and respectful learning environment.</w:t>
            </w:r>
          </w:p>
        </w:tc>
        <w:tc>
          <w:tcPr>
            <w:tcW w:w="4380" w:type="dxa"/>
            <w:vMerge/>
          </w:tcPr>
          <w:p w14:paraId="55303B12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365166CD" w14:textId="77777777" w:rsidTr="002E0B45">
        <w:tc>
          <w:tcPr>
            <w:tcW w:w="5925" w:type="dxa"/>
          </w:tcPr>
          <w:p w14:paraId="40C2F7C0" w14:textId="77777777" w:rsidR="0091014F" w:rsidRDefault="002E0B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Provide positive and constructive feedback to guide students’ learning and behavior. (Note this HLP focuses on behavior.)</w:t>
            </w:r>
          </w:p>
        </w:tc>
        <w:tc>
          <w:tcPr>
            <w:tcW w:w="4380" w:type="dxa"/>
            <w:vMerge/>
          </w:tcPr>
          <w:p w14:paraId="12A746BC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1A491445" w14:textId="77777777" w:rsidTr="002E0B45">
        <w:tc>
          <w:tcPr>
            <w:tcW w:w="5925" w:type="dxa"/>
          </w:tcPr>
          <w:p w14:paraId="6BE18B68" w14:textId="77777777" w:rsidR="0091014F" w:rsidRDefault="002E0B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Teach social behaviors.</w:t>
            </w:r>
          </w:p>
        </w:tc>
        <w:tc>
          <w:tcPr>
            <w:tcW w:w="4380" w:type="dxa"/>
            <w:vMerge/>
          </w:tcPr>
          <w:p w14:paraId="46ADF2D1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51318460" w14:textId="77777777" w:rsidTr="002E0B45">
        <w:tc>
          <w:tcPr>
            <w:tcW w:w="5925" w:type="dxa"/>
          </w:tcPr>
          <w:p w14:paraId="009B5477" w14:textId="77777777" w:rsidR="0091014F" w:rsidRDefault="002E0B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Conduct functional behavioral assessments to develop individual student behavior support plans.</w:t>
            </w:r>
          </w:p>
        </w:tc>
        <w:tc>
          <w:tcPr>
            <w:tcW w:w="4380" w:type="dxa"/>
            <w:vMerge/>
          </w:tcPr>
          <w:p w14:paraId="620411F3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67EFAEA4" w14:textId="77777777" w:rsidTr="002E0B45">
        <w:tc>
          <w:tcPr>
            <w:tcW w:w="5925" w:type="dxa"/>
          </w:tcPr>
          <w:p w14:paraId="73B027CB" w14:textId="77777777" w:rsidR="0091014F" w:rsidRDefault="002E0B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Identify and prioritize long- and short-term learning goals.</w:t>
            </w:r>
          </w:p>
        </w:tc>
        <w:tc>
          <w:tcPr>
            <w:tcW w:w="4380" w:type="dxa"/>
            <w:vMerge/>
          </w:tcPr>
          <w:p w14:paraId="47F39D8B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4A64A8D5" w14:textId="77777777" w:rsidTr="002E0B45">
        <w:tc>
          <w:tcPr>
            <w:tcW w:w="5925" w:type="dxa"/>
          </w:tcPr>
          <w:p w14:paraId="710BBEEA" w14:textId="77777777" w:rsidR="0091014F" w:rsidRDefault="002E0B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Systematically design instruction toward a specific learning goal.</w:t>
            </w:r>
          </w:p>
        </w:tc>
        <w:tc>
          <w:tcPr>
            <w:tcW w:w="4380" w:type="dxa"/>
            <w:vMerge/>
          </w:tcPr>
          <w:p w14:paraId="6AA80214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1CC50DEF" w14:textId="77777777" w:rsidTr="002E0B45">
        <w:tc>
          <w:tcPr>
            <w:tcW w:w="5925" w:type="dxa"/>
          </w:tcPr>
          <w:p w14:paraId="12ADDEFB" w14:textId="77777777" w:rsidR="0091014F" w:rsidRDefault="002E0B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Adapt curriculum tasks and materials for specific learning goals.</w:t>
            </w:r>
          </w:p>
        </w:tc>
        <w:tc>
          <w:tcPr>
            <w:tcW w:w="4380" w:type="dxa"/>
            <w:vMerge/>
          </w:tcPr>
          <w:p w14:paraId="334FF05E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05B402AE" w14:textId="77777777" w:rsidTr="002E0B45">
        <w:tc>
          <w:tcPr>
            <w:tcW w:w="5925" w:type="dxa"/>
          </w:tcPr>
          <w:p w14:paraId="4EB43DC0" w14:textId="77777777" w:rsidR="0091014F" w:rsidRDefault="002E0B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Teach cognitive and metacognitive strategies to support learning and independence.</w:t>
            </w:r>
          </w:p>
        </w:tc>
        <w:tc>
          <w:tcPr>
            <w:tcW w:w="4380" w:type="dxa"/>
            <w:vMerge/>
          </w:tcPr>
          <w:p w14:paraId="73B1C3DE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6F3F3C9E" w14:textId="77777777" w:rsidTr="002E0B45">
        <w:tc>
          <w:tcPr>
            <w:tcW w:w="5925" w:type="dxa"/>
          </w:tcPr>
          <w:p w14:paraId="65D77765" w14:textId="77777777" w:rsidR="0091014F" w:rsidRDefault="002E0B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Provide scaffolded supports.</w:t>
            </w:r>
          </w:p>
        </w:tc>
        <w:tc>
          <w:tcPr>
            <w:tcW w:w="4380" w:type="dxa"/>
            <w:vMerge/>
          </w:tcPr>
          <w:p w14:paraId="160C41A6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7E76EF8A" w14:textId="77777777" w:rsidTr="002E0B45">
        <w:tc>
          <w:tcPr>
            <w:tcW w:w="5925" w:type="dxa"/>
          </w:tcPr>
          <w:p w14:paraId="680565E4" w14:textId="77777777" w:rsidR="0091014F" w:rsidRDefault="002E0B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Use explicit instruction.</w:t>
            </w:r>
          </w:p>
        </w:tc>
        <w:tc>
          <w:tcPr>
            <w:tcW w:w="4380" w:type="dxa"/>
            <w:vMerge/>
          </w:tcPr>
          <w:p w14:paraId="3222DCA2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0F5AC40E" w14:textId="77777777" w:rsidTr="002E0B45">
        <w:tc>
          <w:tcPr>
            <w:tcW w:w="5925" w:type="dxa"/>
          </w:tcPr>
          <w:p w14:paraId="33D08648" w14:textId="77777777" w:rsidR="0091014F" w:rsidRDefault="002E0B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Use flexible grouping.</w:t>
            </w:r>
          </w:p>
        </w:tc>
        <w:tc>
          <w:tcPr>
            <w:tcW w:w="4380" w:type="dxa"/>
            <w:vMerge/>
          </w:tcPr>
          <w:p w14:paraId="61BC4974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63D0F0D0" w14:textId="77777777" w:rsidTr="002E0B45">
        <w:tc>
          <w:tcPr>
            <w:tcW w:w="5925" w:type="dxa"/>
          </w:tcPr>
          <w:p w14:paraId="2820098E" w14:textId="77777777" w:rsidR="0091014F" w:rsidRDefault="002E0B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Use strategies to promote active student engagement.</w:t>
            </w:r>
          </w:p>
        </w:tc>
        <w:tc>
          <w:tcPr>
            <w:tcW w:w="4380" w:type="dxa"/>
            <w:vMerge/>
          </w:tcPr>
          <w:p w14:paraId="701B5676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537C00FB" w14:textId="77777777" w:rsidTr="002E0B45">
        <w:tc>
          <w:tcPr>
            <w:tcW w:w="5925" w:type="dxa"/>
          </w:tcPr>
          <w:p w14:paraId="61B356D1" w14:textId="77777777" w:rsidR="0091014F" w:rsidRDefault="002E0B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Use assistive and instructional technologies.</w:t>
            </w:r>
          </w:p>
        </w:tc>
        <w:tc>
          <w:tcPr>
            <w:tcW w:w="4380" w:type="dxa"/>
            <w:vMerge/>
          </w:tcPr>
          <w:p w14:paraId="38168869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00A699A3" w14:textId="77777777" w:rsidTr="002E0B45">
        <w:tc>
          <w:tcPr>
            <w:tcW w:w="5925" w:type="dxa"/>
          </w:tcPr>
          <w:p w14:paraId="573E790B" w14:textId="77777777" w:rsidR="0091014F" w:rsidRDefault="002E0B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Provide intensive instruction. </w:t>
            </w:r>
          </w:p>
        </w:tc>
        <w:tc>
          <w:tcPr>
            <w:tcW w:w="4380" w:type="dxa"/>
            <w:vMerge/>
          </w:tcPr>
          <w:p w14:paraId="12B68F5D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1075A78A" w14:textId="77777777" w:rsidTr="002E0B45">
        <w:tc>
          <w:tcPr>
            <w:tcW w:w="5925" w:type="dxa"/>
          </w:tcPr>
          <w:p w14:paraId="1260B432" w14:textId="77777777" w:rsidR="0091014F" w:rsidRDefault="002E0B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Teach students to maintain and generalize new learning across time and settings.</w:t>
            </w:r>
          </w:p>
        </w:tc>
        <w:tc>
          <w:tcPr>
            <w:tcW w:w="4380" w:type="dxa"/>
            <w:vMerge/>
          </w:tcPr>
          <w:p w14:paraId="22ED9B90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  <w:tr w:rsidR="0091014F" w14:paraId="67E502DD" w14:textId="77777777" w:rsidTr="002E0B45">
        <w:tc>
          <w:tcPr>
            <w:tcW w:w="5925" w:type="dxa"/>
          </w:tcPr>
          <w:p w14:paraId="0CA90827" w14:textId="77777777" w:rsidR="0091014F" w:rsidRDefault="002E0B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Provide positive and constructive feedback to guide students’ learning and behavior. (Note this HLP focuses on instruction.)</w:t>
            </w:r>
          </w:p>
        </w:tc>
        <w:tc>
          <w:tcPr>
            <w:tcW w:w="4380" w:type="dxa"/>
            <w:vMerge/>
          </w:tcPr>
          <w:p w14:paraId="4BAA860A" w14:textId="77777777" w:rsidR="0091014F" w:rsidRDefault="00910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color w:val="000000"/>
              </w:rPr>
            </w:pPr>
          </w:p>
        </w:tc>
      </w:tr>
    </w:tbl>
    <w:p w14:paraId="57ABB68B" w14:textId="77777777" w:rsidR="0091014F" w:rsidRDefault="0091014F">
      <w:pPr>
        <w:rPr>
          <w:rFonts w:ascii="Garamond" w:eastAsia="Garamond" w:hAnsi="Garamond" w:cs="Garamond"/>
          <w:color w:val="000000"/>
        </w:rPr>
      </w:pPr>
    </w:p>
    <w:sectPr w:rsidR="0091014F"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36D79"/>
    <w:multiLevelType w:val="multilevel"/>
    <w:tmpl w:val="FFAAA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E42C4"/>
    <w:multiLevelType w:val="multilevel"/>
    <w:tmpl w:val="10FCE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4F"/>
    <w:rsid w:val="002E0B45"/>
    <w:rsid w:val="006F69F0"/>
    <w:rsid w:val="0091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6F8C"/>
  <w15:docId w15:val="{C4A182A8-FA13-DD40-8725-A76A6008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2E0B45"/>
    <w:pPr>
      <w:ind w:left="342"/>
      <w:jc w:val="center"/>
      <w:outlineLvl w:val="0"/>
    </w:pPr>
    <w:rPr>
      <w:rFonts w:ascii="Garamond" w:eastAsia="Garamond" w:hAnsi="Garamond" w:cs="Garamond"/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E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2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A2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684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ighleveragepractic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achingworks.org/work-of-teaching/high-leverage-practi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u0Og0RTzzaPMjyX7ShOZAZUoQw==">AMUW2mU5deHlouZTgJBE0Bk7Hj7UCZ2JDFtxvkGqJ19tu39wQWnNmDZ11X3wMT9UmPSrjcsV0bq1Qpi/wMveH+nLqlDdYWJv6H5IW9JxGvEOIdYrKvVFgtY95JNnyY/2mXxLK+eADiLW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Sampson Graner</dc:creator>
  <cp:lastModifiedBy>J Shelton</cp:lastModifiedBy>
  <cp:revision>2</cp:revision>
  <dcterms:created xsi:type="dcterms:W3CDTF">2021-11-28T15:39:00Z</dcterms:created>
  <dcterms:modified xsi:type="dcterms:W3CDTF">2021-11-28T15:39:00Z</dcterms:modified>
</cp:coreProperties>
</file>