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VTSS Starting to Sustaining, Strand 5 Family Engagement </w:t>
      </w:r>
    </w:p>
    <w:p w:rsidR="00000000" w:rsidDel="00000000" w:rsidP="00000000" w:rsidRDefault="00000000" w:rsidRPr="00000000" w14:paraId="00000002">
      <w:pPr>
        <w:spacing w:after="200" w:lineRule="auto"/>
        <w:ind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ind w:hanging="18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Worksheet &amp; Action Plan Discussion - Guiding Questions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200" w:lineRule="auto"/>
        <w:ind w:left="36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highlight w:val="white"/>
          <w:rtl w:val="0"/>
        </w:rPr>
        <w:t xml:space="preserve">Return to your Data to Vision worksheet; are there gaps in the first components your team targeted?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200" w:before="0" w:lineRule="auto"/>
        <w:ind w:left="36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highlight w:val="white"/>
          <w:rtl w:val="0"/>
        </w:rPr>
        <w:t xml:space="preserve">If you have fully-addressed the components you initially targeted, which component(s) will you address next?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200" w:before="0" w:lineRule="auto"/>
        <w:ind w:left="36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highlight w:val="white"/>
          <w:rtl w:val="0"/>
        </w:rPr>
        <w:t xml:space="preserve">What data do you have but requires more analysis, perhaps with the benefit of family voice? What data do you yet need to collect?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200" w:lineRule="auto"/>
        <w:ind w:left="36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highlight w:val="white"/>
          <w:rtl w:val="0"/>
        </w:rPr>
        <w:t xml:space="preserve">Given what you explored with the two scenarios from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6"/>
          <w:szCs w:val="26"/>
          <w:highlight w:val="white"/>
          <w:rtl w:val="0"/>
        </w:rPr>
        <w:t xml:space="preserve">Partnering with Families for Student Success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highlight w:val="white"/>
          <w:rtl w:val="0"/>
        </w:rPr>
        <w:t xml:space="preserve">, what additional considerations for professional learning and policy development or revision might your team need to consider?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222222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