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VTSS Implementation Matrix At-a-Glance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Each feature of VTSS moves through the stages of implementation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Exploration, Installation, Initial Implementation &amp; Full Implementation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8.000000000002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1170"/>
        <w:gridCol w:w="41"/>
        <w:gridCol w:w="255"/>
        <w:gridCol w:w="1665"/>
        <w:gridCol w:w="915"/>
        <w:gridCol w:w="180"/>
        <w:gridCol w:w="1357"/>
        <w:gridCol w:w="105"/>
        <w:gridCol w:w="1245"/>
        <w:gridCol w:w="315"/>
        <w:gridCol w:w="495"/>
        <w:gridCol w:w="451"/>
        <w:gridCol w:w="1005"/>
        <w:gridCol w:w="615"/>
        <w:gridCol w:w="1170"/>
        <w:gridCol w:w="1899"/>
        <w:tblGridChange w:id="0">
          <w:tblGrid>
            <w:gridCol w:w="1705"/>
            <w:gridCol w:w="1170"/>
            <w:gridCol w:w="41"/>
            <w:gridCol w:w="255"/>
            <w:gridCol w:w="1665"/>
            <w:gridCol w:w="915"/>
            <w:gridCol w:w="180"/>
            <w:gridCol w:w="1357"/>
            <w:gridCol w:w="105"/>
            <w:gridCol w:w="1245"/>
            <w:gridCol w:w="315"/>
            <w:gridCol w:w="495"/>
            <w:gridCol w:w="451"/>
            <w:gridCol w:w="1005"/>
            <w:gridCol w:w="615"/>
            <w:gridCol w:w="1170"/>
            <w:gridCol w:w="1899"/>
          </w:tblGrid>
        </w:tblGridChange>
      </w:tblGrid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0" w:hanging="357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Aligned Organizational Structure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: The elements of a tiered system exist at the division, school and classroom levels and are compatible.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Leadership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Getting a functional 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team together and helping schools do the same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1.B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Teaming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Making sure the team is knowledge-able and fits with other teams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1.C 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Planning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The team now aligns the 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work for implementa-tion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1.D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Communication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The team communicates the work of implementation with each other and also with stakeholders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1.E </w:t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Aligned Definitions of Multi-</w:t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tiered Supports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Establishing the data, practices and systems across all three tiers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1.F </w:t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Aligned and Effective Resources for Multi-tiered Supports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Operationali-</w:t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zing the multi-tiered system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1.G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Professional Learning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Integrating and aligning all professional learning based on need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-14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1.H </w:t>
            </w:r>
          </w:p>
          <w:p w:rsidR="00000000" w:rsidDel="00000000" w:rsidP="00000000" w:rsidRDefault="00000000" w:rsidRPr="00000000" w14:paraId="0000002F">
            <w:pPr>
              <w:ind w:right="-14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Coaching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: Developing coaching plans and processes to support data, practices and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0" w:hanging="330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Data Informed Decision Making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: Analyzing and evaluating student data to inform educational decisions around instruction, intervention, allocation of resources, development of policy, movement within a multi-level system, and disability identification.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Data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Managing the collection and analysis of data effectively and efficiently at all levels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2.B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Decision Making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Using Data Drive Decision Making in a problem-solving process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2.C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Meeting Structures for Data Informed Decision Making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Organizing the who, what, when, where and how to meet on the various types of data at both the division and building level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0" w:hanging="330"/>
              <w:rPr>
                <w:rFonts w:ascii="Verdana" w:cs="Verdana" w:eastAsia="Verdana" w:hAnsi="Verdana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2"/>
                <w:szCs w:val="22"/>
                <w:rtl w:val="0"/>
              </w:rPr>
              <w:t xml:space="preserve">Evidence Based Practices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2"/>
                <w:szCs w:val="22"/>
                <w:rtl w:val="0"/>
              </w:rPr>
              <w:t xml:space="preserve">: Teaching and learning approaches proven to be effective through scientifically based studies.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3.A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Quality Core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Providing and supporting a consistent message of what “good teaching” consists of in the division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22"/>
                <w:szCs w:val="22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3.B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Aligned Instructional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Providing and supporting selected interventions for students requiring support at Tiers 2 and 3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F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3.C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Continuum of Supports that is Culturally Responsive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Clearly defining the practices and programs supported by the division and ensuring they are culturally responsive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3.D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Fidelity of Practices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Determining that EBPs are provided with fidelity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3.E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Capacity for Coaching and Professional Learning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Ensuring staff capacity for cultural and linguistic responsiveness within the division context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Family, School, and Community Partnerships: 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The collaboration of families, schools, and communities as active partners in improving learner, classroom, school, division, and state outcomes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4.A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Adding families and communities as partners in implementation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4.B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Cultural and Linguistic Responsiveness</w:t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Authentic Engagement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Monitoring Student Progress: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Student performance is examined frequently, over time, to evaluate response to instruction and intervention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Assessment Mapping for Student Growth</w:t>
            </w:r>
          </w:p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Determining the varied assessments that measure student outcomes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Screening Tools and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The division decides tools and/or data to screen students</w:t>
            </w:r>
          </w:p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Screening Process</w:t>
            </w:r>
          </w:p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Universal screening is completed and part of the assessment process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Progress Monitoring at Tier 1</w:t>
            </w:r>
          </w:p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Evaluating effectiveness of Tier 1 Instruction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5.E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Progress Monitoring at Tiers 2 and 3 </w:t>
            </w:r>
          </w:p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Utilizing multiple measures to determine growth for students receiving supports in Tiers 2 and 3</w:t>
            </w:r>
          </w:p>
        </w:tc>
      </w:tr>
      <w:tr>
        <w:trPr>
          <w:cantSplit w:val="0"/>
          <w:tblHeader w:val="0"/>
        </w:trPr>
        <w:tc>
          <w:tcPr>
            <w:gridSpan w:val="17"/>
            <w:shd w:fill="d9d9d9" w:val="clea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Evaluation of Process: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The fidelity of implementation and impact on student outcomes are examined frequently and the results inform action steps</w:t>
            </w:r>
          </w:p>
        </w:tc>
      </w:tr>
      <w:tr>
        <w:trPr>
          <w:cantSplit w:val="0"/>
          <w:tblHeader w:val="0"/>
        </w:trPr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6.A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Outcome Evaluation for Problem Solving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Determine the impact of the practices and systems to adjust instruction, professional learning, and coaching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6.B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 Fidelity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Evaluating the fidelity of implementation, instruction, and assessment</w:t>
            </w:r>
          </w:p>
        </w:tc>
      </w:tr>
    </w:tbl>
    <w:p w:rsidR="00000000" w:rsidDel="00000000" w:rsidP="00000000" w:rsidRDefault="00000000" w:rsidRPr="00000000" w14:paraId="000000E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Verdana" w:cs="Verdana" w:eastAsia="Verdana" w:hAnsi="Verdana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Verdana" w:cs="Verdana" w:eastAsia="Verdana" w:hAnsi="Verdana"/>
          <w:sz w:val="22"/>
          <w:szCs w:val="22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mHFcPomqLUo3UnlBTmCNn2gkQ==">AMUW2mVR08y6cgqWfiW2YW1Dr14eW0352wJjSmZxFMtjFQikGKklWJUp10AdTKyHC0nKX7MBHyL+cuiGc7OSyRjxTOD34VrIq54MGOf/5p4WvkEoT2D6z0Uh94CdzdRcrfMCfNAJVkPMQ3fxq/tuSixdCOxxMRT8zgy6Jy/YbhhweQynDOanO43vDoh0VoJZLgoZ68iefsp6WYPSD/oRNwmrjTY2SQV6nPTl9TpPs4L3BxAQ7pGhd0bUrzGsHmREepuqkEO/vF3/VM90kXlr66nTtapkh/Ubgl7jlLLkDt+0dHC8eF/oPeZP1xd2/MzJ2X9NSBQNPR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2020-05-21T00:13:00Z</dcterms:created>
</cp:coreProperties>
</file>