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63" w:rsidRPr="00916C63" w:rsidRDefault="00916C63" w:rsidP="00916C63">
      <w:pPr>
        <w:pStyle w:val="Title"/>
        <w:spacing w:line="240" w:lineRule="auto"/>
      </w:pPr>
      <w:r w:rsidRPr="00916C63">
        <w:t xml:space="preserve">Trauma Sensitive Approaches for Home &amp; School </w:t>
      </w:r>
    </w:p>
    <w:p w:rsidR="00916C63" w:rsidRPr="00916C63" w:rsidRDefault="00916C63" w:rsidP="00916C63">
      <w:pPr>
        <w:pStyle w:val="Title"/>
      </w:pPr>
      <w:r w:rsidRPr="00916C63">
        <w:t>Video 3 Fact Sheet: Building Trauma-Sensitive Schools</w:t>
      </w:r>
    </w:p>
    <w:p w:rsidR="00916C63" w:rsidRDefault="00916C63" w:rsidP="00916C63">
      <w:pPr>
        <w:pStyle w:val="BodyText"/>
        <w:ind w:left="119" w:right="122" w:firstLine="0"/>
        <w:jc w:val="both"/>
      </w:pPr>
      <w:r>
        <w:t>Schools using multi-tiered systems of supports (ex.: Virginia Tiered Systems of Supports/VTSS) recognize</w:t>
      </w:r>
      <w:r>
        <w:rPr>
          <w:spacing w:val="-47"/>
        </w:rPr>
        <w:t xml:space="preserve"> </w:t>
      </w:r>
      <w:r>
        <w:t>the importance of strengthening academic, social- emotional, and behavioral skills, so that children and</w:t>
      </w:r>
      <w:r>
        <w:rPr>
          <w:spacing w:val="1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ready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expectations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community.</w:t>
      </w:r>
    </w:p>
    <w:p w:rsidR="00916C63" w:rsidRPr="00916C63" w:rsidRDefault="00916C63" w:rsidP="00916C63">
      <w:pPr>
        <w:pStyle w:val="Heading1"/>
      </w:pPr>
      <w:r w:rsidRPr="00916C63">
        <w:t>What is Social-Emotional Competence? *1</w:t>
      </w:r>
    </w:p>
    <w:p w:rsidR="00916C63" w:rsidRDefault="00916C63" w:rsidP="00916C63">
      <w:pPr>
        <w:pStyle w:val="BodyText"/>
        <w:spacing w:line="268" w:lineRule="exact"/>
        <w:ind w:left="118" w:firstLine="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emotional</w:t>
      </w:r>
      <w:r>
        <w:rPr>
          <w:spacing w:val="-1"/>
        </w:rPr>
        <w:t xml:space="preserve"> </w:t>
      </w:r>
      <w:r>
        <w:t>growth:</w:t>
      </w:r>
    </w:p>
    <w:p w:rsidR="00916C63" w:rsidRPr="00E54A42" w:rsidRDefault="00916C63" w:rsidP="00E54A42">
      <w:pPr>
        <w:pStyle w:val="ListParagraph"/>
      </w:pPr>
      <w:r w:rsidRPr="00E54A42">
        <w:t>Self-awareness – the ability to recognize your emotions and understand the link between thoughts, emotions and behaviors</w:t>
      </w:r>
    </w:p>
    <w:p w:rsidR="00916C63" w:rsidRPr="00E54A42" w:rsidRDefault="00916C63" w:rsidP="00E54A42">
      <w:pPr>
        <w:pStyle w:val="ListParagraph"/>
      </w:pPr>
      <w:r w:rsidRPr="00E54A42">
        <w:t>Self-management – the ability to regulate one’s emotions, thoughts and behaviors</w:t>
      </w:r>
    </w:p>
    <w:p w:rsidR="00916C63" w:rsidRPr="00E54A42" w:rsidRDefault="00916C63" w:rsidP="00E54A42">
      <w:pPr>
        <w:pStyle w:val="ListParagraph"/>
      </w:pPr>
      <w:r w:rsidRPr="00E54A42">
        <w:t>Social awareness – the ability to understand other’s perspectives and demonstrate empathy.</w:t>
      </w:r>
    </w:p>
    <w:p w:rsidR="00916C63" w:rsidRPr="00E54A42" w:rsidRDefault="00916C63" w:rsidP="00E54A42">
      <w:pPr>
        <w:pStyle w:val="ListParagraph"/>
      </w:pPr>
      <w:r w:rsidRPr="00E54A42">
        <w:t>Relationship skills – the ability to build and maintain healthy relationships</w:t>
      </w:r>
    </w:p>
    <w:p w:rsidR="00916C63" w:rsidRPr="00E54A42" w:rsidRDefault="00916C63" w:rsidP="00E54A42">
      <w:pPr>
        <w:pStyle w:val="ListParagraph"/>
      </w:pPr>
      <w:r w:rsidRPr="00E54A42">
        <w:t>Responsible decision making – the ability to make positive choice in behavior and interactions with others</w:t>
      </w:r>
    </w:p>
    <w:p w:rsidR="00916C63" w:rsidRDefault="00916C63" w:rsidP="00916C63">
      <w:pPr>
        <w:pStyle w:val="Heading1"/>
      </w:pPr>
      <w:r>
        <w:t>Core</w:t>
      </w:r>
      <w:r>
        <w:rPr>
          <w:spacing w:val="-4"/>
        </w:rPr>
        <w:t xml:space="preserve"> </w:t>
      </w:r>
      <w:r>
        <w:t>Trauma-Informed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t>*2</w:t>
      </w:r>
    </w:p>
    <w:p w:rsidR="00916C63" w:rsidRPr="00E54A42" w:rsidRDefault="00916C63" w:rsidP="00E54A42">
      <w:pPr>
        <w:pStyle w:val="ListParagraph"/>
      </w:pPr>
      <w:r w:rsidRPr="00E54A42">
        <w:t xml:space="preserve">Safety – Ensuring physical, emotional, </w:t>
      </w:r>
      <w:proofErr w:type="gramStart"/>
      <w:r w:rsidRPr="00E54A42">
        <w:t>behavioral</w:t>
      </w:r>
      <w:proofErr w:type="gramEnd"/>
      <w:r w:rsidRPr="00E54A42">
        <w:t xml:space="preserve"> and academic safety. Remember a student’s perception of safety is what matters to them. Predictability and routine can contribute to a sense of safety.</w:t>
      </w:r>
    </w:p>
    <w:p w:rsidR="00916C63" w:rsidRPr="00E54A42" w:rsidRDefault="00916C63" w:rsidP="00E54A42">
      <w:pPr>
        <w:pStyle w:val="ListParagraph"/>
      </w:pPr>
      <w:r w:rsidRPr="00E54A42">
        <w:t xml:space="preserve">Trustworthiness – Conveying honesty and truthfulness. Examples of adults behaviors that show trustworthiness to students include being reliable and consistent, making tasks clear, and maintaining appropriate boundaries. Everyone </w:t>
      </w:r>
      <w:proofErr w:type="gramStart"/>
      <w:r w:rsidRPr="00E54A42">
        <w:t>must be treated</w:t>
      </w:r>
      <w:proofErr w:type="gramEnd"/>
      <w:r w:rsidRPr="00E54A42">
        <w:t xml:space="preserve"> with dignity and respect.</w:t>
      </w:r>
    </w:p>
    <w:p w:rsidR="00916C63" w:rsidRPr="00E54A42" w:rsidRDefault="00916C63" w:rsidP="00E54A42">
      <w:pPr>
        <w:pStyle w:val="ListParagraph"/>
      </w:pPr>
      <w:r w:rsidRPr="00E54A42">
        <w:t xml:space="preserve">Choice – Maximizing student and family choice. Student choices and a sense of control. For persons impacted by trauma who have lost control, having even small choices can feel reassuring and empowering. At school, opportunities for choice and shared decision-making </w:t>
      </w:r>
      <w:proofErr w:type="gramStart"/>
      <w:r w:rsidRPr="00E54A42">
        <w:t>can be integrated</w:t>
      </w:r>
      <w:proofErr w:type="gramEnd"/>
      <w:r w:rsidRPr="00E54A42">
        <w:t xml:space="preserve"> into academic and non-academic activities.</w:t>
      </w:r>
    </w:p>
    <w:p w:rsidR="00916C63" w:rsidRPr="00E54A42" w:rsidRDefault="00916C63" w:rsidP="00E54A42">
      <w:pPr>
        <w:pStyle w:val="ListParagraph"/>
      </w:pPr>
      <w:r w:rsidRPr="00E54A42">
        <w:t xml:space="preserve">Collaboration – </w:t>
      </w:r>
      <w:proofErr w:type="gramStart"/>
      <w:r w:rsidRPr="00E54A42">
        <w:t>Partnering</w:t>
      </w:r>
      <w:proofErr w:type="gramEnd"/>
      <w:r w:rsidRPr="00E54A42">
        <w:t xml:space="preserve"> of adults and students to solve problems and share power. Educators can help students and families be aware of and </w:t>
      </w:r>
      <w:r w:rsidRPr="00E54A42">
        <w:lastRenderedPageBreak/>
        <w:t>take opportunities to collaborate. Collaboration between school staff is especially critical in trauma-sensitive schools.</w:t>
      </w:r>
    </w:p>
    <w:p w:rsidR="00916C63" w:rsidRPr="00E54A42" w:rsidRDefault="00916C63" w:rsidP="00E54A42">
      <w:pPr>
        <w:pStyle w:val="ListParagraph"/>
      </w:pPr>
      <w:r w:rsidRPr="00E54A42">
        <w:t xml:space="preserve">Empowerment – Ensuring students recognize they are capable of change and they have opportunities to practice and </w:t>
      </w:r>
      <w:proofErr w:type="gramStart"/>
      <w:r w:rsidRPr="00E54A42">
        <w:t>be acknowledged</w:t>
      </w:r>
      <w:proofErr w:type="gramEnd"/>
      <w:r w:rsidRPr="00E54A42">
        <w:t xml:space="preserve"> for using problem solving skills. Schools empower by meaningfully including families and students in decision-making; adopting a strengths-based perspective that recognizes capabilities of all students; and embedding skill development throughout the school day.</w:t>
      </w:r>
    </w:p>
    <w:p w:rsidR="00916C63" w:rsidRDefault="00916C63" w:rsidP="00916C63">
      <w:pPr>
        <w:pStyle w:val="Heading1"/>
      </w:pPr>
      <w:r>
        <w:t>Social</w:t>
      </w:r>
      <w:r>
        <w:rPr>
          <w:spacing w:val="-1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Competencies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*3</w:t>
      </w:r>
    </w:p>
    <w:p w:rsidR="00916C63" w:rsidRDefault="00916C63" w:rsidP="00916C63">
      <w:pPr>
        <w:pStyle w:val="BodyText"/>
        <w:ind w:left="117" w:firstLine="0"/>
      </w:pPr>
      <w:r>
        <w:t>Social</w:t>
      </w:r>
      <w:r>
        <w:rPr>
          <w:spacing w:val="-2"/>
        </w:rPr>
        <w:t xml:space="preserve"> </w:t>
      </w:r>
      <w:r>
        <w:t>emotional</w:t>
      </w:r>
      <w:r>
        <w:rPr>
          <w:spacing w:val="-1"/>
        </w:rPr>
        <w:t xml:space="preserve"> </w:t>
      </w:r>
      <w:r>
        <w:t>competencies</w:t>
      </w:r>
      <w:r>
        <w:rPr>
          <w:spacing w:val="-2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children:</w:t>
      </w:r>
    </w:p>
    <w:p w:rsidR="00916C63" w:rsidRPr="00E54A42" w:rsidRDefault="00916C63" w:rsidP="00E54A42">
      <w:pPr>
        <w:pStyle w:val="ListParagraph"/>
      </w:pPr>
      <w:r w:rsidRPr="00E54A42">
        <w:t>Persist during challenging tasks</w:t>
      </w:r>
    </w:p>
    <w:p w:rsidR="00916C63" w:rsidRPr="00E54A42" w:rsidRDefault="00916C63" w:rsidP="00E54A42">
      <w:pPr>
        <w:pStyle w:val="ListParagraph"/>
      </w:pPr>
      <w:r w:rsidRPr="00E54A42">
        <w:t>Ask for help when needed</w:t>
      </w:r>
    </w:p>
    <w:p w:rsidR="00916C63" w:rsidRPr="00E54A42" w:rsidRDefault="00916C63" w:rsidP="00E54A42">
      <w:pPr>
        <w:pStyle w:val="ListParagraph"/>
      </w:pPr>
      <w:r w:rsidRPr="00E54A42">
        <w:t>Consider the consequences of their actions</w:t>
      </w:r>
    </w:p>
    <w:p w:rsidR="00916C63" w:rsidRDefault="00916C63" w:rsidP="00916C63">
      <w:pPr>
        <w:pStyle w:val="BodyText"/>
        <w:spacing w:before="1"/>
        <w:ind w:left="118" w:right="212" w:firstLine="0"/>
      </w:pPr>
      <w:r>
        <w:t xml:space="preserve">Children who </w:t>
      </w:r>
      <w:proofErr w:type="gramStart"/>
      <w:r>
        <w:t>are taught</w:t>
      </w:r>
      <w:proofErr w:type="gramEnd"/>
      <w:r>
        <w:t xml:space="preserve"> social-emotional skills experience greater educational, career and relationship</w:t>
      </w:r>
      <w:r>
        <w:rPr>
          <w:spacing w:val="-48"/>
        </w:rPr>
        <w:t xml:space="preserve"> </w:t>
      </w:r>
      <w:r>
        <w:t>success.</w:t>
      </w:r>
    </w:p>
    <w:p w:rsidR="00916C63" w:rsidRDefault="00916C63" w:rsidP="00916C63">
      <w:pPr>
        <w:pStyle w:val="Heading1"/>
      </w:pPr>
      <w:r>
        <w:t>School/Family</w:t>
      </w:r>
      <w:r>
        <w:rPr>
          <w:spacing w:val="-3"/>
        </w:rPr>
        <w:t xml:space="preserve"> </w:t>
      </w:r>
      <w:r>
        <w:t>Collaboration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Key</w:t>
      </w:r>
    </w:p>
    <w:p w:rsidR="00916C63" w:rsidRPr="00E54A42" w:rsidRDefault="00916C63" w:rsidP="00E54A42">
      <w:pPr>
        <w:pStyle w:val="ListParagraph"/>
      </w:pPr>
      <w:r w:rsidRPr="00E54A42">
        <w:t>Share positive information with each other, in addition to concerns/problems</w:t>
      </w:r>
    </w:p>
    <w:p w:rsidR="00916C63" w:rsidRPr="00E54A42" w:rsidRDefault="00916C63" w:rsidP="00E54A42">
      <w:pPr>
        <w:pStyle w:val="ListParagraph"/>
      </w:pPr>
      <w:r w:rsidRPr="00E54A42">
        <w:t>Focus on child and family strengths</w:t>
      </w:r>
    </w:p>
    <w:p w:rsidR="00916C63" w:rsidRPr="00E54A42" w:rsidRDefault="00916C63" w:rsidP="00E54A42">
      <w:pPr>
        <w:pStyle w:val="ListParagraph"/>
      </w:pPr>
      <w:r w:rsidRPr="00E54A42">
        <w:t>Meaningfully engage families in school decision-making</w:t>
      </w:r>
    </w:p>
    <w:p w:rsidR="00916C63" w:rsidRPr="00E54A42" w:rsidRDefault="00916C63" w:rsidP="00E54A42">
      <w:pPr>
        <w:pStyle w:val="ListParagraph"/>
      </w:pPr>
      <w:r w:rsidRPr="00E54A42">
        <w:t>Open communication</w:t>
      </w:r>
    </w:p>
    <w:p w:rsidR="00916C63" w:rsidRPr="00E54A42" w:rsidRDefault="00916C63" w:rsidP="00E54A42">
      <w:pPr>
        <w:pStyle w:val="ListParagraph"/>
      </w:pPr>
      <w:r w:rsidRPr="00E54A42">
        <w:t>Listen to families; Build trust</w:t>
      </w:r>
    </w:p>
    <w:p w:rsidR="00916C63" w:rsidRPr="00E54A42" w:rsidRDefault="00916C63" w:rsidP="00E54A42">
      <w:pPr>
        <w:pStyle w:val="ListParagraph"/>
      </w:pPr>
      <w:r w:rsidRPr="00E54A42">
        <w:t>Keep all communications respectful and child-focused</w:t>
      </w:r>
    </w:p>
    <w:p w:rsidR="00916C63" w:rsidRPr="00E54A42" w:rsidRDefault="00916C63" w:rsidP="00E54A42">
      <w:pPr>
        <w:pStyle w:val="ListParagraph"/>
      </w:pPr>
      <w:r w:rsidRPr="00E54A42">
        <w:t>Reserve judgment re: parenting or teaching approaches</w:t>
      </w:r>
    </w:p>
    <w:p w:rsidR="00916C63" w:rsidRDefault="00916C63" w:rsidP="00916C63">
      <w:pPr>
        <w:pStyle w:val="Heading1"/>
      </w:pPr>
      <w:r>
        <w:t>Restorative</w:t>
      </w:r>
      <w:r>
        <w:rPr>
          <w:spacing w:val="-3"/>
        </w:rPr>
        <w:t xml:space="preserve"> </w:t>
      </w:r>
      <w:r>
        <w:t>Practices *4</w:t>
      </w:r>
    </w:p>
    <w:p w:rsidR="00916C63" w:rsidRDefault="00916C63" w:rsidP="00916C63">
      <w:pPr>
        <w:pStyle w:val="BodyText"/>
        <w:ind w:left="120" w:right="381" w:firstLine="0"/>
      </w:pPr>
      <w:proofErr w:type="gramStart"/>
      <w:r>
        <w:t>Restorative practices promotes</w:t>
      </w:r>
      <w:proofErr w:type="gramEnd"/>
      <w:r>
        <w:t xml:space="preserve"> inclusiveness, relationship-building, and problem-solving through the</w:t>
      </w:r>
      <w:r>
        <w:rPr>
          <w:spacing w:val="-47"/>
        </w:rPr>
        <w:t xml:space="preserve"> </w:t>
      </w:r>
      <w:r>
        <w:t>use of circles for teaching conflict resolution. In contrast to traditional, reactive punishments which</w:t>
      </w:r>
      <w:r>
        <w:rPr>
          <w:spacing w:val="1"/>
        </w:rPr>
        <w:t xml:space="preserve"> </w:t>
      </w:r>
      <w:r>
        <w:t>rarely teach new skills, schools using restorative practices encourage students to reflect on and take</w:t>
      </w:r>
      <w:r>
        <w:rPr>
          <w:spacing w:val="1"/>
        </w:rPr>
        <w:t xml:space="preserve"> </w:t>
      </w:r>
      <w:r>
        <w:t>responsibility for their actions and take steps to repair and harm they may have caused. Restorative</w:t>
      </w:r>
      <w:r>
        <w:rPr>
          <w:spacing w:val="1"/>
        </w:rPr>
        <w:t xml:space="preserve"> </w:t>
      </w:r>
      <w:r>
        <w:t>practices help students and teachers develop stronger relationships through a deeper sense of</w:t>
      </w:r>
      <w:r>
        <w:rPr>
          <w:spacing w:val="1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lastRenderedPageBreak/>
        <w:t>and</w:t>
      </w:r>
      <w:r>
        <w:rPr>
          <w:spacing w:val="-1"/>
        </w:rPr>
        <w:t xml:space="preserve"> </w:t>
      </w:r>
      <w:r>
        <w:t>empathy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another.</w:t>
      </w:r>
    </w:p>
    <w:p w:rsidR="00916C63" w:rsidRDefault="00916C63" w:rsidP="00916C63">
      <w:pPr>
        <w:pStyle w:val="Heading1"/>
      </w:pPr>
      <w:r>
        <w:t>Strategies</w:t>
      </w:r>
    </w:p>
    <w:p w:rsidR="00916C63" w:rsidRPr="00E54A42" w:rsidRDefault="00916C63" w:rsidP="00E54A42">
      <w:pPr>
        <w:pStyle w:val="ListParagraph"/>
      </w:pPr>
      <w:r w:rsidRPr="00E54A42">
        <w:t>Consider needed social, emotional, behavioral and academic supports</w:t>
      </w:r>
    </w:p>
    <w:p w:rsidR="00916C63" w:rsidRPr="00E54A42" w:rsidRDefault="00916C63" w:rsidP="00E54A42">
      <w:pPr>
        <w:pStyle w:val="ListParagraph"/>
      </w:pPr>
      <w:r w:rsidRPr="00E54A42">
        <w:t>Establish feelings of safety to support relationships</w:t>
      </w:r>
    </w:p>
    <w:p w:rsidR="00916C63" w:rsidRPr="00E54A42" w:rsidRDefault="00916C63" w:rsidP="00E54A42">
      <w:pPr>
        <w:pStyle w:val="ListParagraph"/>
      </w:pPr>
      <w:r w:rsidRPr="00E54A42">
        <w:t>Show genuine interest to build trust and strengthen relationships</w:t>
      </w:r>
    </w:p>
    <w:p w:rsidR="00916C63" w:rsidRPr="00E54A42" w:rsidRDefault="00916C63" w:rsidP="00E54A42">
      <w:pPr>
        <w:pStyle w:val="ListParagraph"/>
      </w:pPr>
      <w:r w:rsidRPr="00E54A42">
        <w:t>Maintain trust to support learning and understanding</w:t>
      </w:r>
    </w:p>
    <w:p w:rsidR="00916C63" w:rsidRPr="00E54A42" w:rsidRDefault="00916C63" w:rsidP="00E54A42">
      <w:pPr>
        <w:pStyle w:val="ListParagraph"/>
      </w:pPr>
      <w:r w:rsidRPr="00E54A42">
        <w:t>Let emotions calm before engaging the student</w:t>
      </w:r>
    </w:p>
    <w:p w:rsidR="00916C63" w:rsidRPr="00E54A42" w:rsidRDefault="00916C63" w:rsidP="00E54A42">
      <w:pPr>
        <w:pStyle w:val="ListParagraph"/>
      </w:pPr>
      <w:r w:rsidRPr="00E54A42">
        <w:t>Give choice in the school day to support empowerment</w:t>
      </w:r>
    </w:p>
    <w:p w:rsidR="00916C63" w:rsidRPr="00E54A42" w:rsidRDefault="00916C63" w:rsidP="00E54A42">
      <w:pPr>
        <w:pStyle w:val="ListParagraph"/>
      </w:pPr>
      <w:r w:rsidRPr="00E54A42">
        <w:t>Give voice and choice to promote trust and empowerment</w:t>
      </w:r>
    </w:p>
    <w:p w:rsidR="00916C63" w:rsidRPr="00E54A42" w:rsidRDefault="00916C63" w:rsidP="00E54A42">
      <w:pPr>
        <w:pStyle w:val="ListParagraph"/>
      </w:pPr>
      <w:r w:rsidRPr="00E54A42">
        <w:t>Foster open communication between home and school</w:t>
      </w:r>
    </w:p>
    <w:p w:rsidR="00916C63" w:rsidRPr="00E54A42" w:rsidRDefault="00916C63" w:rsidP="00E54A42">
      <w:pPr>
        <w:pStyle w:val="ListParagraph"/>
      </w:pPr>
      <w:r w:rsidRPr="00E54A42">
        <w:t>Build on student strengths</w:t>
      </w:r>
    </w:p>
    <w:p w:rsidR="00916C63" w:rsidRPr="00E54A42" w:rsidRDefault="00916C63" w:rsidP="00E54A42">
      <w:pPr>
        <w:pStyle w:val="ListParagraph"/>
      </w:pPr>
      <w:r w:rsidRPr="00E54A42">
        <w:t>Offer supports to families to build resiliency</w:t>
      </w:r>
    </w:p>
    <w:p w:rsidR="00916C63" w:rsidRDefault="00916C63" w:rsidP="00E54A42">
      <w:pPr>
        <w:pStyle w:val="BodyText"/>
        <w:spacing w:before="360"/>
        <w:ind w:left="115" w:firstLine="0"/>
      </w:pPr>
      <w:r>
        <w:t>*1</w:t>
      </w:r>
      <w:r>
        <w:rPr>
          <w:spacing w:val="-2"/>
        </w:rPr>
        <w:t xml:space="preserve"> </w:t>
      </w:r>
      <w:r>
        <w:t>Cite:</w:t>
      </w:r>
      <w:r>
        <w:rPr>
          <w:spacing w:val="-4"/>
        </w:rPr>
        <w:t xml:space="preserve"> </w:t>
      </w:r>
      <w:r>
        <w:t>CASEL.org</w:t>
      </w:r>
    </w:p>
    <w:p w:rsidR="00916C63" w:rsidRDefault="00916C63" w:rsidP="00916C63">
      <w:pPr>
        <w:pStyle w:val="BodyText"/>
        <w:ind w:left="121" w:right="2305" w:firstLine="0"/>
      </w:pPr>
      <w:r>
        <w:t xml:space="preserve">*2 Cites: </w:t>
      </w:r>
      <w:proofErr w:type="spellStart"/>
      <w:r>
        <w:t>Fallot</w:t>
      </w:r>
      <w:proofErr w:type="spellEnd"/>
      <w:r>
        <w:t xml:space="preserve"> &amp; Harris (2009); Daniel &amp; Black, Wisconsin Department of Public</w:t>
      </w:r>
      <w:r>
        <w:rPr>
          <w:spacing w:val="-47"/>
        </w:rPr>
        <w:t xml:space="preserve"> </w:t>
      </w:r>
      <w:r>
        <w:t>Instruction</w:t>
      </w:r>
      <w:r>
        <w:rPr>
          <w:spacing w:val="-4"/>
        </w:rPr>
        <w:t xml:space="preserve"> </w:t>
      </w:r>
      <w:r>
        <w:t>(2017)</w:t>
      </w:r>
    </w:p>
    <w:p w:rsidR="00916C63" w:rsidRDefault="00916C63" w:rsidP="00916C63">
      <w:pPr>
        <w:pStyle w:val="BodyText"/>
        <w:ind w:left="121" w:firstLine="0"/>
      </w:pPr>
      <w:r>
        <w:t>*3</w:t>
      </w:r>
      <w:r>
        <w:rPr>
          <w:spacing w:val="-2"/>
        </w:rPr>
        <w:t xml:space="preserve"> </w:t>
      </w:r>
      <w:proofErr w:type="gramStart"/>
      <w:r>
        <w:t>Cite:</w:t>
      </w:r>
      <w:proofErr w:type="gramEnd"/>
      <w:r>
        <w:rPr>
          <w:spacing w:val="-4"/>
        </w:rPr>
        <w:t xml:space="preserve"> </w:t>
      </w:r>
      <w:r>
        <w:t>CASEL.org</w:t>
      </w:r>
    </w:p>
    <w:p w:rsidR="00916C63" w:rsidRDefault="00916C63" w:rsidP="00916C63">
      <w:pPr>
        <w:pStyle w:val="BodyText"/>
        <w:spacing w:line="477" w:lineRule="auto"/>
        <w:ind w:left="121" w:firstLine="0"/>
        <w:rPr>
          <w:spacing w:val="-47"/>
        </w:rPr>
      </w:pPr>
      <w:r>
        <w:t xml:space="preserve">*4 </w:t>
      </w:r>
      <w:proofErr w:type="gramStart"/>
      <w:r>
        <w:t>Cite:</w:t>
      </w:r>
      <w:proofErr w:type="gramEnd"/>
      <w:r>
        <w:t xml:space="preserve"> NEA/AFT Restorative Practices Workin</w:t>
      </w:r>
      <w:bookmarkStart w:id="0" w:name="_GoBack"/>
      <w:bookmarkEnd w:id="0"/>
      <w:r>
        <w:t>g Group, 2014</w:t>
      </w:r>
      <w:r>
        <w:rPr>
          <w:spacing w:val="-47"/>
        </w:rPr>
        <w:t xml:space="preserve"> </w:t>
      </w:r>
    </w:p>
    <w:p w:rsidR="00916C63" w:rsidRDefault="00916C63" w:rsidP="00916C63">
      <w:pPr>
        <w:pStyle w:val="BodyText"/>
        <w:spacing w:line="477" w:lineRule="auto"/>
        <w:ind w:left="121" w:firstLine="0"/>
      </w:pPr>
      <w:r>
        <w:t>Videos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the </w:t>
      </w:r>
      <w:hyperlink r:id="rId5" w:history="1">
        <w:r>
          <w:rPr>
            <w:rStyle w:val="Hyperlink"/>
          </w:rPr>
          <w:t>Formed Families Forward website</w:t>
        </w:r>
      </w:hyperlink>
    </w:p>
    <w:p w:rsidR="00F3386E" w:rsidRDefault="00F3386E"/>
    <w:sectPr w:rsidR="00F3386E">
      <w:pgSz w:w="12240" w:h="15840"/>
      <w:pgMar w:top="140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874DD"/>
    <w:multiLevelType w:val="hybridMultilevel"/>
    <w:tmpl w:val="2396A636"/>
    <w:lvl w:ilvl="0" w:tplc="DA1E28B8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9506CF6">
      <w:numFmt w:val="bullet"/>
      <w:lvlText w:val="•"/>
      <w:lvlJc w:val="left"/>
      <w:pPr>
        <w:ind w:left="1710" w:hanging="361"/>
      </w:pPr>
      <w:rPr>
        <w:rFonts w:hint="default"/>
        <w:lang w:val="en-US" w:eastAsia="en-US" w:bidi="ar-SA"/>
      </w:rPr>
    </w:lvl>
    <w:lvl w:ilvl="2" w:tplc="8392091C">
      <w:numFmt w:val="bullet"/>
      <w:lvlText w:val="•"/>
      <w:lvlJc w:val="left"/>
      <w:pPr>
        <w:ind w:left="2580" w:hanging="361"/>
      </w:pPr>
      <w:rPr>
        <w:rFonts w:hint="default"/>
        <w:lang w:val="en-US" w:eastAsia="en-US" w:bidi="ar-SA"/>
      </w:rPr>
    </w:lvl>
    <w:lvl w:ilvl="3" w:tplc="CC3CC6F2">
      <w:numFmt w:val="bullet"/>
      <w:lvlText w:val="•"/>
      <w:lvlJc w:val="left"/>
      <w:pPr>
        <w:ind w:left="3450" w:hanging="361"/>
      </w:pPr>
      <w:rPr>
        <w:rFonts w:hint="default"/>
        <w:lang w:val="en-US" w:eastAsia="en-US" w:bidi="ar-SA"/>
      </w:rPr>
    </w:lvl>
    <w:lvl w:ilvl="4" w:tplc="B9BE2BAE">
      <w:numFmt w:val="bullet"/>
      <w:lvlText w:val="•"/>
      <w:lvlJc w:val="left"/>
      <w:pPr>
        <w:ind w:left="4320" w:hanging="361"/>
      </w:pPr>
      <w:rPr>
        <w:rFonts w:hint="default"/>
        <w:lang w:val="en-US" w:eastAsia="en-US" w:bidi="ar-SA"/>
      </w:rPr>
    </w:lvl>
    <w:lvl w:ilvl="5" w:tplc="0468505A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278A280C">
      <w:numFmt w:val="bullet"/>
      <w:lvlText w:val="•"/>
      <w:lvlJc w:val="left"/>
      <w:pPr>
        <w:ind w:left="6060" w:hanging="361"/>
      </w:pPr>
      <w:rPr>
        <w:rFonts w:hint="default"/>
        <w:lang w:val="en-US" w:eastAsia="en-US" w:bidi="ar-SA"/>
      </w:rPr>
    </w:lvl>
    <w:lvl w:ilvl="7" w:tplc="D22EB0A0">
      <w:numFmt w:val="bullet"/>
      <w:lvlText w:val="•"/>
      <w:lvlJc w:val="left"/>
      <w:pPr>
        <w:ind w:left="6930" w:hanging="361"/>
      </w:pPr>
      <w:rPr>
        <w:rFonts w:hint="default"/>
        <w:lang w:val="en-US" w:eastAsia="en-US" w:bidi="ar-SA"/>
      </w:rPr>
    </w:lvl>
    <w:lvl w:ilvl="8" w:tplc="9E720EB8">
      <w:numFmt w:val="bullet"/>
      <w:lvlText w:val="•"/>
      <w:lvlJc w:val="left"/>
      <w:pPr>
        <w:ind w:left="780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F927F4F"/>
    <w:multiLevelType w:val="hybridMultilevel"/>
    <w:tmpl w:val="B6265D34"/>
    <w:lvl w:ilvl="0" w:tplc="1DACA8C6">
      <w:start w:val="1"/>
      <w:numFmt w:val="bullet"/>
      <w:pStyle w:val="ListParagraph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63"/>
    <w:rsid w:val="00916C63"/>
    <w:rsid w:val="00A966DD"/>
    <w:rsid w:val="00E54A42"/>
    <w:rsid w:val="00F3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84EC9-A467-4AD2-8A57-E3BA19BD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6C63"/>
    <w:pPr>
      <w:widowControl w:val="0"/>
      <w:autoSpaceDE w:val="0"/>
      <w:autoSpaceDN w:val="0"/>
      <w:spacing w:after="120" w:line="288" w:lineRule="auto"/>
    </w:pPr>
    <w:rPr>
      <w:rFonts w:ascii="Verdana" w:eastAsia="Calibri" w:hAnsi="Verdana" w:cs="Calibri"/>
      <w:sz w:val="24"/>
    </w:rPr>
  </w:style>
  <w:style w:type="paragraph" w:styleId="Heading1">
    <w:name w:val="heading 1"/>
    <w:basedOn w:val="Normal"/>
    <w:link w:val="Heading1Char"/>
    <w:uiPriority w:val="1"/>
    <w:qFormat/>
    <w:rsid w:val="00A966DD"/>
    <w:pPr>
      <w:spacing w:before="360"/>
      <w:ind w:left="11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966DD"/>
    <w:rPr>
      <w:rFonts w:ascii="Verdana" w:eastAsia="Calibri" w:hAnsi="Verdana" w:cs="Calibri"/>
      <w:b/>
      <w:bCs/>
      <w:sz w:val="24"/>
    </w:rPr>
  </w:style>
  <w:style w:type="paragraph" w:styleId="BodyText">
    <w:name w:val="Body Text"/>
    <w:basedOn w:val="Normal"/>
    <w:link w:val="BodyTextChar"/>
    <w:uiPriority w:val="1"/>
    <w:qFormat/>
    <w:rsid w:val="00916C63"/>
    <w:pPr>
      <w:ind w:left="840" w:hanging="361"/>
    </w:pPr>
  </w:style>
  <w:style w:type="character" w:customStyle="1" w:styleId="BodyTextChar">
    <w:name w:val="Body Text Char"/>
    <w:basedOn w:val="DefaultParagraphFont"/>
    <w:link w:val="BodyText"/>
    <w:uiPriority w:val="1"/>
    <w:rsid w:val="00916C63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E54A42"/>
    <w:pPr>
      <w:numPr>
        <w:numId w:val="2"/>
      </w:numPr>
      <w:ind w:left="540"/>
    </w:pPr>
  </w:style>
  <w:style w:type="paragraph" w:styleId="Title">
    <w:name w:val="Title"/>
    <w:basedOn w:val="Heading1"/>
    <w:next w:val="Normal"/>
    <w:link w:val="TitleChar"/>
    <w:uiPriority w:val="10"/>
    <w:qFormat/>
    <w:rsid w:val="00916C63"/>
    <w:pPr>
      <w:spacing w:after="240"/>
      <w:ind w:left="0" w:firstLine="23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6C63"/>
    <w:rPr>
      <w:rFonts w:ascii="Verdana" w:eastAsia="Calibri" w:hAnsi="Verdana" w:cs="Calibr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16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rmedfamiliesforward.org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Trauma Sensitive Approaches for Home and School Video 3 Fact Sheet: Building Trauma-Sensitive Schools</dc:title>
  <dc:subject/>
  <dc:creator>Marguerite Miles</dc:creator>
  <cp:keywords/>
  <dc:description/>
  <cp:lastModifiedBy>Marguerite Miles</cp:lastModifiedBy>
  <cp:revision>3</cp:revision>
  <dcterms:created xsi:type="dcterms:W3CDTF">2021-03-12T22:08:00Z</dcterms:created>
  <dcterms:modified xsi:type="dcterms:W3CDTF">2021-03-12T22:30:00Z</dcterms:modified>
</cp:coreProperties>
</file>